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theme/themeOverride1.xml" ContentType="application/vnd.openxmlformats-officedocument.themeOverrid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BA37C" w14:textId="2FFB7A3B" w:rsidR="001D78C4" w:rsidRPr="00864699" w:rsidRDefault="001D78C4" w:rsidP="001D78C4">
      <w:pPr>
        <w:spacing w:after="0"/>
        <w:contextualSpacing/>
        <w:jc w:val="right"/>
        <w:rPr>
          <w:rFonts w:ascii="Arial Narrow" w:hAnsi="Arial Narrow"/>
          <w:noProof/>
          <w:lang w:val="en-GB"/>
        </w:rPr>
      </w:pPr>
    </w:p>
    <w:p w14:paraId="667B7B1A" w14:textId="77777777" w:rsidR="001D78C4" w:rsidRDefault="001D78C4" w:rsidP="00E910F1">
      <w:pPr>
        <w:spacing w:after="0"/>
        <w:contextualSpacing/>
        <w:rPr>
          <w:rFonts w:ascii="Arial Narrow" w:hAnsi="Arial Narrow"/>
          <w:noProof/>
          <w:lang w:val="fr-FR"/>
        </w:rPr>
      </w:pPr>
    </w:p>
    <w:p w14:paraId="2A2E70FC" w14:textId="77777777" w:rsidR="001D78C4" w:rsidRDefault="001D78C4" w:rsidP="00E910F1">
      <w:pPr>
        <w:spacing w:after="0"/>
        <w:contextualSpacing/>
        <w:rPr>
          <w:rFonts w:ascii="Arial Narrow" w:hAnsi="Arial Narrow"/>
          <w:noProof/>
          <w:lang w:val="fr-FR"/>
        </w:rPr>
      </w:pPr>
    </w:p>
    <w:p w14:paraId="52B13389" w14:textId="463001E7" w:rsidR="00E910F1" w:rsidRPr="006B1C55" w:rsidRDefault="008125AA" w:rsidP="00E910F1">
      <w:pPr>
        <w:spacing w:after="0"/>
        <w:contextualSpacing/>
        <w:rPr>
          <w:lang w:val="fr-FR"/>
        </w:rPr>
      </w:pPr>
      <w:r>
        <w:rPr>
          <w:rFonts w:ascii="Arial Narrow" w:hAnsi="Arial Narrow"/>
          <w:noProof/>
          <w:lang w:val="fr-FR"/>
        </w:rPr>
        <w:t xml:space="preserve"> </w:t>
      </w:r>
      <w:r w:rsidR="001D78C4">
        <w:rPr>
          <w:rFonts w:ascii="Arial Narrow" w:hAnsi="Arial Narrow"/>
          <w:noProof/>
          <w:lang w:val="fr-FR"/>
        </w:rPr>
        <w:t xml:space="preserve">     </w:t>
      </w:r>
      <w:r w:rsidR="00E50E33" w:rsidRPr="00A575B6">
        <w:rPr>
          <w:noProof/>
          <w:sz w:val="24"/>
          <w:szCs w:val="24"/>
        </w:rPr>
        <w:drawing>
          <wp:inline distT="0" distB="0" distL="0" distR="0" wp14:anchorId="264C60ED" wp14:editId="18EC8ED3">
            <wp:extent cx="501650" cy="431800"/>
            <wp:effectExtent l="0" t="0" r="0" b="0"/>
            <wp:docPr id="2" name="Picture 2" descr="C:\Users\tudor\AppData\Local\Microsoft\Windows\Temporary Internet Files\Content.Outlook\QDBSMBB8\SIGLA_GUVERNULUI_ROMÂNIEI-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udor\AppData\Local\Microsoft\Windows\Temporary Internet Files\Content.Outlook\QDBSMBB8\SIGLA_GUVERNULUI_ROMÂNIEI-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650" cy="431800"/>
                    </a:xfrm>
                    <a:prstGeom prst="rect">
                      <a:avLst/>
                    </a:prstGeom>
                    <a:noFill/>
                    <a:ln>
                      <a:noFill/>
                    </a:ln>
                  </pic:spPr>
                </pic:pic>
              </a:graphicData>
            </a:graphic>
          </wp:inline>
        </w:drawing>
      </w:r>
      <w:r w:rsidR="00E910F1" w:rsidRPr="006B1C55">
        <w:rPr>
          <w:rFonts w:ascii="Arial Narrow" w:hAnsi="Arial Narrow"/>
          <w:noProof/>
          <w:lang w:val="fr-FR"/>
        </w:rPr>
        <w:t xml:space="preserve">           </w:t>
      </w:r>
      <w:r>
        <w:rPr>
          <w:lang w:val="fr-FR"/>
        </w:rPr>
        <w:t xml:space="preserve">                      </w:t>
      </w:r>
      <w:r w:rsidR="00E50E33" w:rsidRPr="0082739D">
        <w:rPr>
          <w:noProof/>
        </w:rPr>
        <w:drawing>
          <wp:inline distT="0" distB="0" distL="0" distR="0" wp14:anchorId="5B2F39E4" wp14:editId="25AC1965">
            <wp:extent cx="787400" cy="222250"/>
            <wp:effectExtent l="0" t="0" r="0" b="0"/>
            <wp:docPr id="3" name="Picture 1" descr="C:\Users\mirela.banateanu\Desktop\CAMPANII IEC 2023\logo CNS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ela.banateanu\Desktop\CAMPANII IEC 2023\logo CNSB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7400" cy="222250"/>
                    </a:xfrm>
                    <a:prstGeom prst="rect">
                      <a:avLst/>
                    </a:prstGeom>
                    <a:noFill/>
                    <a:ln>
                      <a:noFill/>
                    </a:ln>
                  </pic:spPr>
                </pic:pic>
              </a:graphicData>
            </a:graphic>
          </wp:inline>
        </w:drawing>
      </w:r>
      <w:r w:rsidR="00E910F1">
        <w:rPr>
          <w:lang w:val="it-IT"/>
        </w:rPr>
        <w:t xml:space="preserve">   </w:t>
      </w:r>
      <w:r w:rsidR="00E910F1" w:rsidRPr="006B1C55">
        <w:rPr>
          <w:lang w:val="fr-FR"/>
        </w:rPr>
        <w:t xml:space="preserve">  </w:t>
      </w:r>
      <w:r w:rsidR="00E910F1" w:rsidRPr="006B1C55">
        <w:rPr>
          <w:rFonts w:ascii="Arial Black" w:hAnsi="Arial Black"/>
          <w:noProof/>
          <w:color w:val="0066CC"/>
          <w:spacing w:val="40"/>
          <w:lang w:val="fr-FR"/>
        </w:rPr>
        <w:t xml:space="preserve">            </w:t>
      </w:r>
      <w:r>
        <w:rPr>
          <w:rFonts w:ascii="Arial Black" w:hAnsi="Arial Black"/>
          <w:noProof/>
          <w:color w:val="0066CC"/>
          <w:spacing w:val="40"/>
          <w:lang w:val="fr-FR"/>
        </w:rPr>
        <w:t xml:space="preserve"> </w:t>
      </w:r>
      <w:r w:rsidR="00E50E33" w:rsidRPr="00A575B6">
        <w:rPr>
          <w:rFonts w:ascii="Arial Black" w:hAnsi="Arial Black"/>
          <w:noProof/>
          <w:color w:val="0066CC"/>
          <w:spacing w:val="40"/>
        </w:rPr>
        <w:drawing>
          <wp:inline distT="0" distB="0" distL="0" distR="0" wp14:anchorId="3DCCB8D8" wp14:editId="1C993E70">
            <wp:extent cx="514350" cy="463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 cy="463550"/>
                    </a:xfrm>
                    <a:prstGeom prst="rect">
                      <a:avLst/>
                    </a:prstGeom>
                    <a:noFill/>
                    <a:ln>
                      <a:noFill/>
                    </a:ln>
                  </pic:spPr>
                </pic:pic>
              </a:graphicData>
            </a:graphic>
          </wp:inline>
        </w:drawing>
      </w:r>
      <w:r w:rsidR="00E910F1" w:rsidRPr="006B1C55">
        <w:rPr>
          <w:lang w:val="fr-FR"/>
        </w:rPr>
        <w:t xml:space="preserve">                                  </w:t>
      </w:r>
      <w:r w:rsidR="00E910F1">
        <w:rPr>
          <w:lang w:val="fr-FR"/>
        </w:rPr>
        <w:t xml:space="preserve"> </w:t>
      </w:r>
      <w:r w:rsidR="00E910F1" w:rsidRPr="006B1C55">
        <w:rPr>
          <w:lang w:val="fr-FR"/>
        </w:rPr>
        <w:t xml:space="preserve">                      </w:t>
      </w:r>
    </w:p>
    <w:p w14:paraId="7312ED40" w14:textId="77777777" w:rsidR="001D78C4" w:rsidRDefault="001D78C4" w:rsidP="00E910F1">
      <w:pPr>
        <w:spacing w:after="0"/>
        <w:contextualSpacing/>
        <w:rPr>
          <w:sz w:val="18"/>
          <w:szCs w:val="18"/>
          <w:lang w:val="fr-FR"/>
        </w:rPr>
      </w:pPr>
    </w:p>
    <w:p w14:paraId="3824B254" w14:textId="77777777" w:rsidR="00E910F1" w:rsidRPr="006B1C55" w:rsidRDefault="00E910F1" w:rsidP="00E910F1">
      <w:pPr>
        <w:spacing w:after="0"/>
        <w:contextualSpacing/>
        <w:rPr>
          <w:sz w:val="18"/>
          <w:szCs w:val="18"/>
          <w:lang w:val="fr-FR"/>
        </w:rPr>
      </w:pPr>
      <w:r w:rsidRPr="006B1C55">
        <w:rPr>
          <w:sz w:val="18"/>
          <w:szCs w:val="18"/>
          <w:lang w:val="fr-FR"/>
        </w:rPr>
        <w:t xml:space="preserve"> </w:t>
      </w:r>
      <w:r>
        <w:rPr>
          <w:sz w:val="18"/>
          <w:szCs w:val="18"/>
          <w:lang w:val="fr-FR"/>
        </w:rPr>
        <w:t>Ministerul Sănătății</w:t>
      </w:r>
      <w:r>
        <w:rPr>
          <w:sz w:val="18"/>
          <w:szCs w:val="18"/>
          <w:lang w:val="fr-FR"/>
        </w:rPr>
        <w:tab/>
      </w:r>
      <w:r w:rsidRPr="006B1C55">
        <w:rPr>
          <w:sz w:val="18"/>
          <w:szCs w:val="18"/>
          <w:lang w:val="fr-FR"/>
        </w:rPr>
        <w:t>Centrul Naț</w:t>
      </w:r>
      <w:r>
        <w:rPr>
          <w:sz w:val="18"/>
          <w:szCs w:val="18"/>
          <w:lang w:val="fr-FR"/>
        </w:rPr>
        <w:t>ional de Supraveghere</w:t>
      </w:r>
      <w:r w:rsidRPr="006B1C55">
        <w:rPr>
          <w:sz w:val="18"/>
          <w:szCs w:val="18"/>
          <w:lang w:val="fr-FR"/>
        </w:rPr>
        <w:t xml:space="preserve">                     Institutul Național                      </w:t>
      </w:r>
      <w:r w:rsidR="008125AA">
        <w:rPr>
          <w:sz w:val="18"/>
          <w:szCs w:val="18"/>
          <w:lang w:val="fr-FR"/>
        </w:rPr>
        <w:t xml:space="preserve">  </w:t>
      </w:r>
      <w:r w:rsidRPr="006B1C55">
        <w:rPr>
          <w:sz w:val="18"/>
          <w:szCs w:val="18"/>
          <w:lang w:val="fr-FR"/>
        </w:rPr>
        <w:t>DSP</w:t>
      </w:r>
      <w:r>
        <w:rPr>
          <w:sz w:val="18"/>
          <w:szCs w:val="18"/>
          <w:lang w:val="fr-FR"/>
        </w:rPr>
        <w:t xml:space="preserve"> Judet….</w:t>
      </w:r>
    </w:p>
    <w:p w14:paraId="72DA0094" w14:textId="77777777" w:rsidR="00E910F1" w:rsidRPr="006B1C55" w:rsidRDefault="00E910F1" w:rsidP="00E910F1">
      <w:pPr>
        <w:spacing w:after="0"/>
        <w:contextualSpacing/>
        <w:rPr>
          <w:sz w:val="18"/>
          <w:szCs w:val="18"/>
          <w:lang w:val="fr-FR"/>
        </w:rPr>
      </w:pPr>
      <w:r w:rsidRPr="006B1C55">
        <w:rPr>
          <w:sz w:val="18"/>
          <w:szCs w:val="18"/>
          <w:lang w:val="fr-FR"/>
        </w:rPr>
        <w:t xml:space="preserve">                                              </w:t>
      </w:r>
      <w:r>
        <w:rPr>
          <w:sz w:val="18"/>
          <w:szCs w:val="18"/>
          <w:lang w:val="fr-FR"/>
        </w:rPr>
        <w:t xml:space="preserve">         a Bolilor Netransmisibile</w:t>
      </w:r>
      <w:r w:rsidRPr="006B1C55">
        <w:rPr>
          <w:sz w:val="18"/>
          <w:szCs w:val="18"/>
          <w:lang w:val="fr-FR"/>
        </w:rPr>
        <w:t xml:space="preserve">                  </w:t>
      </w:r>
      <w:r>
        <w:rPr>
          <w:sz w:val="18"/>
          <w:szCs w:val="18"/>
          <w:lang w:val="fr-FR"/>
        </w:rPr>
        <w:t xml:space="preserve">        </w:t>
      </w:r>
      <w:r w:rsidRPr="006B1C55">
        <w:rPr>
          <w:sz w:val="18"/>
          <w:szCs w:val="18"/>
          <w:lang w:val="fr-FR"/>
        </w:rPr>
        <w:t xml:space="preserve">de Sănătate Publică         </w:t>
      </w:r>
    </w:p>
    <w:p w14:paraId="30551338" w14:textId="77777777" w:rsidR="00E910F1" w:rsidRDefault="00E910F1" w:rsidP="00E910F1">
      <w:pPr>
        <w:pStyle w:val="NormalWeb"/>
        <w:kinsoku w:val="0"/>
        <w:overflowPunct w:val="0"/>
        <w:spacing w:before="200" w:beforeAutospacing="0" w:after="0" w:afterAutospacing="0"/>
        <w:jc w:val="center"/>
        <w:textAlignment w:val="baseline"/>
        <w:rPr>
          <w:b/>
          <w:color w:val="000000"/>
          <w:sz w:val="22"/>
          <w:szCs w:val="22"/>
          <w:lang w:val="fr-FR"/>
        </w:rPr>
      </w:pPr>
    </w:p>
    <w:p w14:paraId="4ACF2316" w14:textId="77777777" w:rsidR="00E6166A" w:rsidRDefault="00E6166A" w:rsidP="008E496A">
      <w:pPr>
        <w:pStyle w:val="NormalWeb"/>
        <w:kinsoku w:val="0"/>
        <w:overflowPunct w:val="0"/>
        <w:spacing w:before="200" w:beforeAutospacing="0" w:after="0" w:afterAutospacing="0"/>
        <w:jc w:val="center"/>
        <w:textAlignment w:val="baseline"/>
        <w:rPr>
          <w:b/>
          <w:color w:val="000000"/>
          <w:sz w:val="22"/>
          <w:szCs w:val="22"/>
          <w:lang w:val="fr-FR"/>
        </w:rPr>
      </w:pPr>
      <w:r>
        <w:rPr>
          <w:b/>
          <w:color w:val="000000"/>
          <w:sz w:val="22"/>
          <w:szCs w:val="22"/>
          <w:lang w:val="fr-FR"/>
        </w:rPr>
        <w:t>Analiză de situație privind problematica consumului de tutun</w:t>
      </w:r>
    </w:p>
    <w:p w14:paraId="0781D15F" w14:textId="77777777" w:rsidR="00E910F1" w:rsidRDefault="00E910F1" w:rsidP="008E496A">
      <w:pPr>
        <w:pStyle w:val="NormalWeb"/>
        <w:kinsoku w:val="0"/>
        <w:overflowPunct w:val="0"/>
        <w:spacing w:before="200" w:beforeAutospacing="0" w:after="0" w:afterAutospacing="0"/>
        <w:jc w:val="center"/>
        <w:textAlignment w:val="baseline"/>
        <w:rPr>
          <w:b/>
          <w:color w:val="000000"/>
          <w:sz w:val="22"/>
          <w:szCs w:val="22"/>
          <w:lang w:val="fr-FR"/>
        </w:rPr>
      </w:pPr>
      <w:r w:rsidRPr="00E43377">
        <w:rPr>
          <w:b/>
          <w:color w:val="000000"/>
          <w:sz w:val="22"/>
          <w:szCs w:val="22"/>
          <w:lang w:val="fr-FR"/>
        </w:rPr>
        <w:t>Campania</w:t>
      </w:r>
    </w:p>
    <w:p w14:paraId="751A8B3A" w14:textId="425CD2A5" w:rsidR="00621824" w:rsidRPr="00AF3C18" w:rsidRDefault="00AF3C18" w:rsidP="00E50E33">
      <w:pPr>
        <w:pStyle w:val="NormalWeb"/>
        <w:kinsoku w:val="0"/>
        <w:overflowPunct w:val="0"/>
        <w:spacing w:before="0" w:beforeAutospacing="0" w:after="0" w:afterAutospacing="0"/>
        <w:jc w:val="center"/>
        <w:textAlignment w:val="baseline"/>
        <w:rPr>
          <w:b/>
          <w:color w:val="385623" w:themeColor="accent6" w:themeShade="80"/>
          <w:sz w:val="22"/>
          <w:szCs w:val="22"/>
          <w:lang w:val="ro-RO"/>
        </w:rPr>
      </w:pPr>
      <w:r w:rsidRPr="00AF3C18">
        <w:rPr>
          <w:b/>
          <w:color w:val="385623" w:themeColor="accent6" w:themeShade="80"/>
          <w:sz w:val="22"/>
          <w:szCs w:val="22"/>
          <w:lang w:val="ro-RO"/>
        </w:rPr>
        <w:t>Fii inspirat!Nu te apuca de fumat!</w:t>
      </w:r>
    </w:p>
    <w:p w14:paraId="773004BC" w14:textId="6E85B6EE" w:rsidR="008A6A9F" w:rsidRPr="00AF3C18" w:rsidRDefault="008A6A9F">
      <w:pPr>
        <w:pStyle w:val="TOCHeading"/>
        <w:rPr>
          <w:color w:val="385623" w:themeColor="accent6" w:themeShade="80"/>
          <w:sz w:val="20"/>
          <w:szCs w:val="20"/>
        </w:rPr>
      </w:pPr>
      <w:r w:rsidRPr="00AF3C18">
        <w:rPr>
          <w:color w:val="385623" w:themeColor="accent6" w:themeShade="80"/>
          <w:sz w:val="20"/>
          <w:szCs w:val="20"/>
        </w:rPr>
        <w:t>C</w:t>
      </w:r>
      <w:r w:rsidR="008306C2" w:rsidRPr="00AF3C18">
        <w:rPr>
          <w:color w:val="385623" w:themeColor="accent6" w:themeShade="80"/>
          <w:sz w:val="20"/>
          <w:szCs w:val="20"/>
        </w:rPr>
        <w:t>uprins</w:t>
      </w:r>
    </w:p>
    <w:p w14:paraId="0ED1C2F7" w14:textId="77777777" w:rsidR="00CE4424" w:rsidRDefault="008A6A9F">
      <w:pPr>
        <w:pStyle w:val="TOC2"/>
        <w:tabs>
          <w:tab w:val="right" w:leader="dot" w:pos="9350"/>
        </w:tabs>
        <w:rPr>
          <w:rFonts w:asciiTheme="minorHAnsi" w:eastAsiaTheme="minorEastAsia" w:hAnsiTheme="minorHAnsi" w:cstheme="minorBidi"/>
          <w:noProof/>
        </w:rPr>
      </w:pPr>
      <w:r w:rsidRPr="00426215">
        <w:rPr>
          <w:sz w:val="20"/>
          <w:szCs w:val="20"/>
        </w:rPr>
        <w:fldChar w:fldCharType="begin"/>
      </w:r>
      <w:r w:rsidRPr="00426215">
        <w:rPr>
          <w:sz w:val="20"/>
          <w:szCs w:val="20"/>
        </w:rPr>
        <w:instrText xml:space="preserve"> TOC \o "1-3" \h \z \u </w:instrText>
      </w:r>
      <w:r w:rsidRPr="00426215">
        <w:rPr>
          <w:sz w:val="20"/>
          <w:szCs w:val="20"/>
        </w:rPr>
        <w:fldChar w:fldCharType="separate"/>
      </w:r>
      <w:hyperlink w:anchor="_Toc132812347" w:history="1">
        <w:r w:rsidR="00CE4424" w:rsidRPr="00255FEA">
          <w:rPr>
            <w:rStyle w:val="Hyperlink"/>
            <w:rFonts w:eastAsia="SimSun"/>
            <w:noProof/>
            <w:bdr w:val="none" w:sz="0" w:space="0" w:color="auto" w:frame="1"/>
          </w:rPr>
          <w:t>Introducere</w:t>
        </w:r>
        <w:r w:rsidR="00CE4424">
          <w:rPr>
            <w:noProof/>
            <w:webHidden/>
          </w:rPr>
          <w:tab/>
        </w:r>
        <w:r w:rsidR="00CE4424">
          <w:rPr>
            <w:noProof/>
            <w:webHidden/>
          </w:rPr>
          <w:fldChar w:fldCharType="begin"/>
        </w:r>
        <w:r w:rsidR="00CE4424">
          <w:rPr>
            <w:noProof/>
            <w:webHidden/>
          </w:rPr>
          <w:instrText xml:space="preserve"> PAGEREF _Toc132812347 \h </w:instrText>
        </w:r>
        <w:r w:rsidR="00CE4424">
          <w:rPr>
            <w:noProof/>
            <w:webHidden/>
          </w:rPr>
        </w:r>
        <w:r w:rsidR="00CE4424">
          <w:rPr>
            <w:noProof/>
            <w:webHidden/>
          </w:rPr>
          <w:fldChar w:fldCharType="separate"/>
        </w:r>
        <w:r w:rsidR="00303172">
          <w:rPr>
            <w:noProof/>
            <w:webHidden/>
          </w:rPr>
          <w:t>2</w:t>
        </w:r>
        <w:r w:rsidR="00CE4424">
          <w:rPr>
            <w:noProof/>
            <w:webHidden/>
          </w:rPr>
          <w:fldChar w:fldCharType="end"/>
        </w:r>
      </w:hyperlink>
    </w:p>
    <w:p w14:paraId="20313DB9" w14:textId="77777777" w:rsidR="00CE4424" w:rsidRDefault="00570D51">
      <w:pPr>
        <w:pStyle w:val="TOC2"/>
        <w:tabs>
          <w:tab w:val="left" w:pos="660"/>
          <w:tab w:val="right" w:leader="dot" w:pos="9350"/>
        </w:tabs>
        <w:rPr>
          <w:rFonts w:asciiTheme="minorHAnsi" w:eastAsiaTheme="minorEastAsia" w:hAnsiTheme="minorHAnsi" w:cstheme="minorBidi"/>
          <w:noProof/>
        </w:rPr>
      </w:pPr>
      <w:hyperlink w:anchor="_Toc132812348" w:history="1">
        <w:r w:rsidR="00CE4424" w:rsidRPr="00255FEA">
          <w:rPr>
            <w:rStyle w:val="Hyperlink"/>
            <w:rFonts w:eastAsia="SimSun"/>
            <w:noProof/>
            <w:bdr w:val="none" w:sz="0" w:space="0" w:color="auto" w:frame="1"/>
          </w:rPr>
          <w:t>1.</w:t>
        </w:r>
        <w:r w:rsidR="00CE4424">
          <w:rPr>
            <w:rFonts w:asciiTheme="minorHAnsi" w:eastAsiaTheme="minorEastAsia" w:hAnsiTheme="minorHAnsi" w:cstheme="minorBidi"/>
            <w:noProof/>
          </w:rPr>
          <w:tab/>
        </w:r>
        <w:r w:rsidR="00CE4424" w:rsidRPr="00255FEA">
          <w:rPr>
            <w:rStyle w:val="Hyperlink"/>
            <w:rFonts w:eastAsia="SimSun"/>
            <w:noProof/>
            <w:bdr w:val="none" w:sz="0" w:space="0" w:color="auto" w:frame="1"/>
          </w:rPr>
          <w:t>Consumul de tutun - problemă de sănătate publică</w:t>
        </w:r>
        <w:r w:rsidR="00CE4424">
          <w:rPr>
            <w:noProof/>
            <w:webHidden/>
          </w:rPr>
          <w:tab/>
        </w:r>
        <w:r w:rsidR="00CE4424">
          <w:rPr>
            <w:noProof/>
            <w:webHidden/>
          </w:rPr>
          <w:fldChar w:fldCharType="begin"/>
        </w:r>
        <w:r w:rsidR="00CE4424">
          <w:rPr>
            <w:noProof/>
            <w:webHidden/>
          </w:rPr>
          <w:instrText xml:space="preserve"> PAGEREF _Toc132812348 \h </w:instrText>
        </w:r>
        <w:r w:rsidR="00CE4424">
          <w:rPr>
            <w:noProof/>
            <w:webHidden/>
          </w:rPr>
        </w:r>
        <w:r w:rsidR="00CE4424">
          <w:rPr>
            <w:noProof/>
            <w:webHidden/>
          </w:rPr>
          <w:fldChar w:fldCharType="separate"/>
        </w:r>
        <w:r w:rsidR="00303172">
          <w:rPr>
            <w:noProof/>
            <w:webHidden/>
          </w:rPr>
          <w:t>3</w:t>
        </w:r>
        <w:r w:rsidR="00CE4424">
          <w:rPr>
            <w:noProof/>
            <w:webHidden/>
          </w:rPr>
          <w:fldChar w:fldCharType="end"/>
        </w:r>
      </w:hyperlink>
    </w:p>
    <w:p w14:paraId="1C199A55" w14:textId="77777777" w:rsidR="00CE4424" w:rsidRDefault="00570D51">
      <w:pPr>
        <w:pStyle w:val="TOC3"/>
        <w:tabs>
          <w:tab w:val="right" w:leader="dot" w:pos="9350"/>
        </w:tabs>
        <w:rPr>
          <w:rFonts w:asciiTheme="minorHAnsi" w:eastAsiaTheme="minorEastAsia" w:hAnsiTheme="minorHAnsi" w:cstheme="minorBidi"/>
          <w:noProof/>
        </w:rPr>
      </w:pPr>
      <w:hyperlink w:anchor="_Toc132812349" w:history="1">
        <w:r w:rsidR="00CE4424" w:rsidRPr="00255FEA">
          <w:rPr>
            <w:rStyle w:val="Hyperlink"/>
            <w:rFonts w:eastAsia="SimSun"/>
            <w:noProof/>
          </w:rPr>
          <w:t>Prevalența fumatului în România, comparativ cu UE</w:t>
        </w:r>
        <w:r w:rsidR="00CE4424">
          <w:rPr>
            <w:noProof/>
            <w:webHidden/>
          </w:rPr>
          <w:tab/>
        </w:r>
        <w:r w:rsidR="00CE4424">
          <w:rPr>
            <w:noProof/>
            <w:webHidden/>
          </w:rPr>
          <w:fldChar w:fldCharType="begin"/>
        </w:r>
        <w:r w:rsidR="00CE4424">
          <w:rPr>
            <w:noProof/>
            <w:webHidden/>
          </w:rPr>
          <w:instrText xml:space="preserve"> PAGEREF _Toc132812349 \h </w:instrText>
        </w:r>
        <w:r w:rsidR="00CE4424">
          <w:rPr>
            <w:noProof/>
            <w:webHidden/>
          </w:rPr>
        </w:r>
        <w:r w:rsidR="00CE4424">
          <w:rPr>
            <w:noProof/>
            <w:webHidden/>
          </w:rPr>
          <w:fldChar w:fldCharType="separate"/>
        </w:r>
        <w:r w:rsidR="00303172">
          <w:rPr>
            <w:noProof/>
            <w:webHidden/>
          </w:rPr>
          <w:t>3</w:t>
        </w:r>
        <w:r w:rsidR="00CE4424">
          <w:rPr>
            <w:noProof/>
            <w:webHidden/>
          </w:rPr>
          <w:fldChar w:fldCharType="end"/>
        </w:r>
      </w:hyperlink>
    </w:p>
    <w:p w14:paraId="1D42643B" w14:textId="77777777" w:rsidR="00CE4424" w:rsidRDefault="00570D51">
      <w:pPr>
        <w:pStyle w:val="TOC3"/>
        <w:tabs>
          <w:tab w:val="right" w:leader="dot" w:pos="9350"/>
        </w:tabs>
        <w:rPr>
          <w:rFonts w:asciiTheme="minorHAnsi" w:eastAsiaTheme="minorEastAsia" w:hAnsiTheme="minorHAnsi" w:cstheme="minorBidi"/>
          <w:noProof/>
        </w:rPr>
      </w:pPr>
      <w:hyperlink w:anchor="_Toc132812350" w:history="1">
        <w:r w:rsidR="00CE4424" w:rsidRPr="00255FEA">
          <w:rPr>
            <w:rStyle w:val="Hyperlink"/>
            <w:rFonts w:eastAsia="SimSun"/>
            <w:noProof/>
          </w:rPr>
          <w:t>Prevalența fumatului în funcție de gen</w:t>
        </w:r>
        <w:r w:rsidR="00CE4424">
          <w:rPr>
            <w:noProof/>
            <w:webHidden/>
          </w:rPr>
          <w:tab/>
        </w:r>
        <w:r w:rsidR="00CE4424">
          <w:rPr>
            <w:noProof/>
            <w:webHidden/>
          </w:rPr>
          <w:fldChar w:fldCharType="begin"/>
        </w:r>
        <w:r w:rsidR="00CE4424">
          <w:rPr>
            <w:noProof/>
            <w:webHidden/>
          </w:rPr>
          <w:instrText xml:space="preserve"> PAGEREF _Toc132812350 \h </w:instrText>
        </w:r>
        <w:r w:rsidR="00CE4424">
          <w:rPr>
            <w:noProof/>
            <w:webHidden/>
          </w:rPr>
        </w:r>
        <w:r w:rsidR="00CE4424">
          <w:rPr>
            <w:noProof/>
            <w:webHidden/>
          </w:rPr>
          <w:fldChar w:fldCharType="separate"/>
        </w:r>
        <w:r w:rsidR="00303172">
          <w:rPr>
            <w:noProof/>
            <w:webHidden/>
          </w:rPr>
          <w:t>3</w:t>
        </w:r>
        <w:r w:rsidR="00CE4424">
          <w:rPr>
            <w:noProof/>
            <w:webHidden/>
          </w:rPr>
          <w:fldChar w:fldCharType="end"/>
        </w:r>
      </w:hyperlink>
    </w:p>
    <w:p w14:paraId="170BEB80" w14:textId="77777777" w:rsidR="00CE4424" w:rsidRDefault="00570D51">
      <w:pPr>
        <w:pStyle w:val="TOC3"/>
        <w:tabs>
          <w:tab w:val="right" w:leader="dot" w:pos="9350"/>
        </w:tabs>
        <w:rPr>
          <w:rFonts w:asciiTheme="minorHAnsi" w:eastAsiaTheme="minorEastAsia" w:hAnsiTheme="minorHAnsi" w:cstheme="minorBidi"/>
          <w:noProof/>
        </w:rPr>
      </w:pPr>
      <w:hyperlink w:anchor="_Toc132812351" w:history="1">
        <w:r w:rsidR="00CE4424" w:rsidRPr="00255FEA">
          <w:rPr>
            <w:rStyle w:val="Hyperlink"/>
            <w:rFonts w:eastAsia="SimSun"/>
            <w:noProof/>
          </w:rPr>
          <w:t>Prevalența fumatului în funcție de statut social</w:t>
        </w:r>
        <w:r w:rsidR="00CE4424">
          <w:rPr>
            <w:noProof/>
            <w:webHidden/>
          </w:rPr>
          <w:tab/>
        </w:r>
        <w:r w:rsidR="00CE4424">
          <w:rPr>
            <w:noProof/>
            <w:webHidden/>
          </w:rPr>
          <w:fldChar w:fldCharType="begin"/>
        </w:r>
        <w:r w:rsidR="00CE4424">
          <w:rPr>
            <w:noProof/>
            <w:webHidden/>
          </w:rPr>
          <w:instrText xml:space="preserve"> PAGEREF _Toc132812351 \h </w:instrText>
        </w:r>
        <w:r w:rsidR="00CE4424">
          <w:rPr>
            <w:noProof/>
            <w:webHidden/>
          </w:rPr>
        </w:r>
        <w:r w:rsidR="00CE4424">
          <w:rPr>
            <w:noProof/>
            <w:webHidden/>
          </w:rPr>
          <w:fldChar w:fldCharType="separate"/>
        </w:r>
        <w:r w:rsidR="00303172">
          <w:rPr>
            <w:noProof/>
            <w:webHidden/>
          </w:rPr>
          <w:t>4</w:t>
        </w:r>
        <w:r w:rsidR="00CE4424">
          <w:rPr>
            <w:noProof/>
            <w:webHidden/>
          </w:rPr>
          <w:fldChar w:fldCharType="end"/>
        </w:r>
      </w:hyperlink>
    </w:p>
    <w:p w14:paraId="3F564C97" w14:textId="77777777" w:rsidR="00CE4424" w:rsidRDefault="00570D51">
      <w:pPr>
        <w:pStyle w:val="TOC3"/>
        <w:tabs>
          <w:tab w:val="right" w:leader="dot" w:pos="9350"/>
        </w:tabs>
        <w:rPr>
          <w:rFonts w:asciiTheme="minorHAnsi" w:eastAsiaTheme="minorEastAsia" w:hAnsiTheme="minorHAnsi" w:cstheme="minorBidi"/>
          <w:noProof/>
        </w:rPr>
      </w:pPr>
      <w:hyperlink w:anchor="_Toc132812352" w:history="1">
        <w:r w:rsidR="00CE4424" w:rsidRPr="00255FEA">
          <w:rPr>
            <w:rStyle w:val="Hyperlink"/>
            <w:rFonts w:eastAsia="SimSun"/>
            <w:noProof/>
          </w:rPr>
          <w:t>Prevalența fumatului pe grupe de vârstă</w:t>
        </w:r>
        <w:r w:rsidR="00CE4424">
          <w:rPr>
            <w:noProof/>
            <w:webHidden/>
          </w:rPr>
          <w:tab/>
        </w:r>
        <w:r w:rsidR="00CE4424">
          <w:rPr>
            <w:noProof/>
            <w:webHidden/>
          </w:rPr>
          <w:fldChar w:fldCharType="begin"/>
        </w:r>
        <w:r w:rsidR="00CE4424">
          <w:rPr>
            <w:noProof/>
            <w:webHidden/>
          </w:rPr>
          <w:instrText xml:space="preserve"> PAGEREF _Toc132812352 \h </w:instrText>
        </w:r>
        <w:r w:rsidR="00CE4424">
          <w:rPr>
            <w:noProof/>
            <w:webHidden/>
          </w:rPr>
        </w:r>
        <w:r w:rsidR="00CE4424">
          <w:rPr>
            <w:noProof/>
            <w:webHidden/>
          </w:rPr>
          <w:fldChar w:fldCharType="separate"/>
        </w:r>
        <w:r w:rsidR="00303172">
          <w:rPr>
            <w:noProof/>
            <w:webHidden/>
          </w:rPr>
          <w:t>5</w:t>
        </w:r>
        <w:r w:rsidR="00CE4424">
          <w:rPr>
            <w:noProof/>
            <w:webHidden/>
          </w:rPr>
          <w:fldChar w:fldCharType="end"/>
        </w:r>
      </w:hyperlink>
    </w:p>
    <w:p w14:paraId="6CC51472" w14:textId="77777777" w:rsidR="00CE4424" w:rsidRDefault="00570D51">
      <w:pPr>
        <w:pStyle w:val="TOC3"/>
        <w:tabs>
          <w:tab w:val="right" w:leader="dot" w:pos="9350"/>
        </w:tabs>
        <w:rPr>
          <w:rFonts w:asciiTheme="minorHAnsi" w:eastAsiaTheme="minorEastAsia" w:hAnsiTheme="minorHAnsi" w:cstheme="minorBidi"/>
          <w:noProof/>
        </w:rPr>
      </w:pPr>
      <w:hyperlink w:anchor="_Toc132812353" w:history="1">
        <w:r w:rsidR="00CE4424" w:rsidRPr="00255FEA">
          <w:rPr>
            <w:rStyle w:val="Hyperlink"/>
            <w:rFonts w:eastAsia="SimSun"/>
            <w:noProof/>
          </w:rPr>
          <w:t>Prevelența utilizării produselor de tutun încălzit și a țigaretelor electronice</w:t>
        </w:r>
        <w:r w:rsidR="00CE4424">
          <w:rPr>
            <w:noProof/>
            <w:webHidden/>
          </w:rPr>
          <w:tab/>
        </w:r>
        <w:r w:rsidR="00CE4424">
          <w:rPr>
            <w:noProof/>
            <w:webHidden/>
          </w:rPr>
          <w:fldChar w:fldCharType="begin"/>
        </w:r>
        <w:r w:rsidR="00CE4424">
          <w:rPr>
            <w:noProof/>
            <w:webHidden/>
          </w:rPr>
          <w:instrText xml:space="preserve"> PAGEREF _Toc132812353 \h </w:instrText>
        </w:r>
        <w:r w:rsidR="00CE4424">
          <w:rPr>
            <w:noProof/>
            <w:webHidden/>
          </w:rPr>
        </w:r>
        <w:r w:rsidR="00CE4424">
          <w:rPr>
            <w:noProof/>
            <w:webHidden/>
          </w:rPr>
          <w:fldChar w:fldCharType="separate"/>
        </w:r>
        <w:r w:rsidR="00303172">
          <w:rPr>
            <w:noProof/>
            <w:webHidden/>
          </w:rPr>
          <w:t>6</w:t>
        </w:r>
        <w:r w:rsidR="00CE4424">
          <w:rPr>
            <w:noProof/>
            <w:webHidden/>
          </w:rPr>
          <w:fldChar w:fldCharType="end"/>
        </w:r>
      </w:hyperlink>
    </w:p>
    <w:p w14:paraId="5FAE4037" w14:textId="77777777" w:rsidR="00CE4424" w:rsidRDefault="00570D51">
      <w:pPr>
        <w:pStyle w:val="TOC2"/>
        <w:tabs>
          <w:tab w:val="left" w:pos="660"/>
          <w:tab w:val="right" w:leader="dot" w:pos="9350"/>
        </w:tabs>
        <w:rPr>
          <w:rFonts w:asciiTheme="minorHAnsi" w:eastAsiaTheme="minorEastAsia" w:hAnsiTheme="minorHAnsi" w:cstheme="minorBidi"/>
          <w:noProof/>
        </w:rPr>
      </w:pPr>
      <w:hyperlink w:anchor="_Toc132812354" w:history="1">
        <w:r w:rsidR="00CE4424" w:rsidRPr="00255FEA">
          <w:rPr>
            <w:rStyle w:val="Hyperlink"/>
            <w:rFonts w:eastAsia="SimSun"/>
            <w:noProof/>
            <w:bdr w:val="none" w:sz="0" w:space="0" w:color="auto" w:frame="1"/>
          </w:rPr>
          <w:t>2.</w:t>
        </w:r>
        <w:r w:rsidR="00CE4424">
          <w:rPr>
            <w:rFonts w:asciiTheme="minorHAnsi" w:eastAsiaTheme="minorEastAsia" w:hAnsiTheme="minorHAnsi" w:cstheme="minorBidi"/>
            <w:noProof/>
          </w:rPr>
          <w:tab/>
        </w:r>
        <w:r w:rsidR="00CE4424" w:rsidRPr="00255FEA">
          <w:rPr>
            <w:rStyle w:val="Hyperlink"/>
            <w:rFonts w:eastAsia="SimSun"/>
            <w:noProof/>
            <w:bdr w:val="none" w:sz="0" w:space="0" w:color="auto" w:frame="1"/>
          </w:rPr>
          <w:t>Consumul de tutun – impact asupra stării de sănătate la nivel individual</w:t>
        </w:r>
        <w:r w:rsidR="00CE4424">
          <w:rPr>
            <w:noProof/>
            <w:webHidden/>
          </w:rPr>
          <w:tab/>
        </w:r>
        <w:r w:rsidR="00CE4424">
          <w:rPr>
            <w:noProof/>
            <w:webHidden/>
          </w:rPr>
          <w:fldChar w:fldCharType="begin"/>
        </w:r>
        <w:r w:rsidR="00CE4424">
          <w:rPr>
            <w:noProof/>
            <w:webHidden/>
          </w:rPr>
          <w:instrText xml:space="preserve"> PAGEREF _Toc132812354 \h </w:instrText>
        </w:r>
        <w:r w:rsidR="00CE4424">
          <w:rPr>
            <w:noProof/>
            <w:webHidden/>
          </w:rPr>
        </w:r>
        <w:r w:rsidR="00CE4424">
          <w:rPr>
            <w:noProof/>
            <w:webHidden/>
          </w:rPr>
          <w:fldChar w:fldCharType="separate"/>
        </w:r>
        <w:r w:rsidR="00303172">
          <w:rPr>
            <w:noProof/>
            <w:webHidden/>
          </w:rPr>
          <w:t>7</w:t>
        </w:r>
        <w:r w:rsidR="00CE4424">
          <w:rPr>
            <w:noProof/>
            <w:webHidden/>
          </w:rPr>
          <w:fldChar w:fldCharType="end"/>
        </w:r>
      </w:hyperlink>
    </w:p>
    <w:p w14:paraId="3AE25FEA" w14:textId="77777777" w:rsidR="00CE4424" w:rsidRDefault="00570D51">
      <w:pPr>
        <w:pStyle w:val="TOC2"/>
        <w:tabs>
          <w:tab w:val="left" w:pos="660"/>
          <w:tab w:val="right" w:leader="dot" w:pos="9350"/>
        </w:tabs>
        <w:rPr>
          <w:rFonts w:asciiTheme="minorHAnsi" w:eastAsiaTheme="minorEastAsia" w:hAnsiTheme="minorHAnsi" w:cstheme="minorBidi"/>
          <w:noProof/>
        </w:rPr>
      </w:pPr>
      <w:hyperlink w:anchor="_Toc132812355" w:history="1">
        <w:r w:rsidR="00CE4424" w:rsidRPr="00255FEA">
          <w:rPr>
            <w:rStyle w:val="Hyperlink"/>
            <w:rFonts w:eastAsia="SimSun"/>
            <w:noProof/>
            <w:bdr w:val="none" w:sz="0" w:space="0" w:color="auto" w:frame="1"/>
          </w:rPr>
          <w:t>3.</w:t>
        </w:r>
        <w:r w:rsidR="00CE4424">
          <w:rPr>
            <w:rFonts w:asciiTheme="minorHAnsi" w:eastAsiaTheme="minorEastAsia" w:hAnsiTheme="minorHAnsi" w:cstheme="minorBidi"/>
            <w:noProof/>
          </w:rPr>
          <w:tab/>
        </w:r>
        <w:r w:rsidR="00CE4424" w:rsidRPr="00255FEA">
          <w:rPr>
            <w:rStyle w:val="Hyperlink"/>
            <w:rFonts w:eastAsia="SimSun"/>
            <w:noProof/>
            <w:bdr w:val="none" w:sz="0" w:space="0" w:color="auto" w:frame="1"/>
          </w:rPr>
          <w:t>Consumul de tutun - impact asupra stării de sănătate la nivel populațional</w:t>
        </w:r>
        <w:r w:rsidR="00CE4424">
          <w:rPr>
            <w:noProof/>
            <w:webHidden/>
          </w:rPr>
          <w:tab/>
        </w:r>
        <w:r w:rsidR="00CE4424">
          <w:rPr>
            <w:noProof/>
            <w:webHidden/>
          </w:rPr>
          <w:fldChar w:fldCharType="begin"/>
        </w:r>
        <w:r w:rsidR="00CE4424">
          <w:rPr>
            <w:noProof/>
            <w:webHidden/>
          </w:rPr>
          <w:instrText xml:space="preserve"> PAGEREF _Toc132812355 \h </w:instrText>
        </w:r>
        <w:r w:rsidR="00CE4424">
          <w:rPr>
            <w:noProof/>
            <w:webHidden/>
          </w:rPr>
        </w:r>
        <w:r w:rsidR="00CE4424">
          <w:rPr>
            <w:noProof/>
            <w:webHidden/>
          </w:rPr>
          <w:fldChar w:fldCharType="separate"/>
        </w:r>
        <w:r w:rsidR="00303172">
          <w:rPr>
            <w:noProof/>
            <w:webHidden/>
          </w:rPr>
          <w:t>9</w:t>
        </w:r>
        <w:r w:rsidR="00CE4424">
          <w:rPr>
            <w:noProof/>
            <w:webHidden/>
          </w:rPr>
          <w:fldChar w:fldCharType="end"/>
        </w:r>
      </w:hyperlink>
    </w:p>
    <w:p w14:paraId="198656FF" w14:textId="77777777" w:rsidR="00CE4424" w:rsidRDefault="00570D51">
      <w:pPr>
        <w:pStyle w:val="TOC3"/>
        <w:tabs>
          <w:tab w:val="right" w:leader="dot" w:pos="9350"/>
        </w:tabs>
        <w:rPr>
          <w:rFonts w:asciiTheme="minorHAnsi" w:eastAsiaTheme="minorEastAsia" w:hAnsiTheme="minorHAnsi" w:cstheme="minorBidi"/>
          <w:noProof/>
        </w:rPr>
      </w:pPr>
      <w:hyperlink w:anchor="_Toc132812356" w:history="1">
        <w:r w:rsidR="00CE4424" w:rsidRPr="00255FEA">
          <w:rPr>
            <w:rStyle w:val="Hyperlink"/>
            <w:rFonts w:eastAsia="SimSun"/>
            <w:noProof/>
          </w:rPr>
          <w:t>Mobiditate și mortalitate atribuibilă fumatului</w:t>
        </w:r>
        <w:r w:rsidR="00CE4424">
          <w:rPr>
            <w:noProof/>
            <w:webHidden/>
          </w:rPr>
          <w:tab/>
        </w:r>
        <w:r w:rsidR="00CE4424">
          <w:rPr>
            <w:noProof/>
            <w:webHidden/>
          </w:rPr>
          <w:fldChar w:fldCharType="begin"/>
        </w:r>
        <w:r w:rsidR="00CE4424">
          <w:rPr>
            <w:noProof/>
            <w:webHidden/>
          </w:rPr>
          <w:instrText xml:space="preserve"> PAGEREF _Toc132812356 \h </w:instrText>
        </w:r>
        <w:r w:rsidR="00CE4424">
          <w:rPr>
            <w:noProof/>
            <w:webHidden/>
          </w:rPr>
        </w:r>
        <w:r w:rsidR="00CE4424">
          <w:rPr>
            <w:noProof/>
            <w:webHidden/>
          </w:rPr>
          <w:fldChar w:fldCharType="separate"/>
        </w:r>
        <w:r w:rsidR="00303172">
          <w:rPr>
            <w:noProof/>
            <w:webHidden/>
          </w:rPr>
          <w:t>9</w:t>
        </w:r>
        <w:r w:rsidR="00CE4424">
          <w:rPr>
            <w:noProof/>
            <w:webHidden/>
          </w:rPr>
          <w:fldChar w:fldCharType="end"/>
        </w:r>
      </w:hyperlink>
    </w:p>
    <w:p w14:paraId="51C436F3" w14:textId="77777777" w:rsidR="00CE4424" w:rsidRDefault="00570D51">
      <w:pPr>
        <w:pStyle w:val="TOC3"/>
        <w:tabs>
          <w:tab w:val="right" w:leader="dot" w:pos="9350"/>
        </w:tabs>
        <w:rPr>
          <w:rFonts w:asciiTheme="minorHAnsi" w:eastAsiaTheme="minorEastAsia" w:hAnsiTheme="minorHAnsi" w:cstheme="minorBidi"/>
          <w:noProof/>
        </w:rPr>
      </w:pPr>
      <w:hyperlink w:anchor="_Toc132812357" w:history="1">
        <w:r w:rsidR="00CE4424" w:rsidRPr="00255FEA">
          <w:rPr>
            <w:rStyle w:val="Hyperlink"/>
            <w:rFonts w:eastAsia="SimSun"/>
            <w:noProof/>
          </w:rPr>
          <w:t>DALY (Disability Adjusted Life Years) – atribuibili fumatului</w:t>
        </w:r>
        <w:r w:rsidR="00CE4424">
          <w:rPr>
            <w:noProof/>
            <w:webHidden/>
          </w:rPr>
          <w:tab/>
        </w:r>
        <w:r w:rsidR="00CE4424">
          <w:rPr>
            <w:noProof/>
            <w:webHidden/>
          </w:rPr>
          <w:fldChar w:fldCharType="begin"/>
        </w:r>
        <w:r w:rsidR="00CE4424">
          <w:rPr>
            <w:noProof/>
            <w:webHidden/>
          </w:rPr>
          <w:instrText xml:space="preserve"> PAGEREF _Toc132812357 \h </w:instrText>
        </w:r>
        <w:r w:rsidR="00CE4424">
          <w:rPr>
            <w:noProof/>
            <w:webHidden/>
          </w:rPr>
        </w:r>
        <w:r w:rsidR="00CE4424">
          <w:rPr>
            <w:noProof/>
            <w:webHidden/>
          </w:rPr>
          <w:fldChar w:fldCharType="separate"/>
        </w:r>
        <w:r w:rsidR="00303172">
          <w:rPr>
            <w:noProof/>
            <w:webHidden/>
          </w:rPr>
          <w:t>9</w:t>
        </w:r>
        <w:r w:rsidR="00CE4424">
          <w:rPr>
            <w:noProof/>
            <w:webHidden/>
          </w:rPr>
          <w:fldChar w:fldCharType="end"/>
        </w:r>
      </w:hyperlink>
    </w:p>
    <w:p w14:paraId="6F7CD899" w14:textId="77777777" w:rsidR="00CE4424" w:rsidRDefault="00570D51">
      <w:pPr>
        <w:pStyle w:val="TOC2"/>
        <w:tabs>
          <w:tab w:val="left" w:pos="660"/>
          <w:tab w:val="right" w:leader="dot" w:pos="9350"/>
        </w:tabs>
        <w:rPr>
          <w:rFonts w:asciiTheme="minorHAnsi" w:eastAsiaTheme="minorEastAsia" w:hAnsiTheme="minorHAnsi" w:cstheme="minorBidi"/>
          <w:noProof/>
        </w:rPr>
      </w:pPr>
      <w:hyperlink w:anchor="_Toc132812358" w:history="1">
        <w:r w:rsidR="00CE4424" w:rsidRPr="00255FEA">
          <w:rPr>
            <w:rStyle w:val="Hyperlink"/>
            <w:rFonts w:eastAsia="SimSun"/>
            <w:noProof/>
            <w:bdr w:val="none" w:sz="0" w:space="0" w:color="auto" w:frame="1"/>
          </w:rPr>
          <w:t>4.</w:t>
        </w:r>
        <w:r w:rsidR="00CE4424">
          <w:rPr>
            <w:rFonts w:asciiTheme="minorHAnsi" w:eastAsiaTheme="minorEastAsia" w:hAnsiTheme="minorHAnsi" w:cstheme="minorBidi"/>
            <w:noProof/>
          </w:rPr>
          <w:tab/>
        </w:r>
        <w:r w:rsidR="00CE4424" w:rsidRPr="00255FEA">
          <w:rPr>
            <w:rStyle w:val="Hyperlink"/>
            <w:rFonts w:eastAsia="SimSun"/>
            <w:noProof/>
            <w:bdr w:val="none" w:sz="0" w:space="0" w:color="auto" w:frame="1"/>
          </w:rPr>
          <w:t>Țigările electronice – riscurile pentru sănătate</w:t>
        </w:r>
        <w:r w:rsidR="00CE4424">
          <w:rPr>
            <w:noProof/>
            <w:webHidden/>
          </w:rPr>
          <w:tab/>
        </w:r>
        <w:r w:rsidR="00CE4424">
          <w:rPr>
            <w:noProof/>
            <w:webHidden/>
          </w:rPr>
          <w:fldChar w:fldCharType="begin"/>
        </w:r>
        <w:r w:rsidR="00CE4424">
          <w:rPr>
            <w:noProof/>
            <w:webHidden/>
          </w:rPr>
          <w:instrText xml:space="preserve"> PAGEREF _Toc132812358 \h </w:instrText>
        </w:r>
        <w:r w:rsidR="00CE4424">
          <w:rPr>
            <w:noProof/>
            <w:webHidden/>
          </w:rPr>
        </w:r>
        <w:r w:rsidR="00CE4424">
          <w:rPr>
            <w:noProof/>
            <w:webHidden/>
          </w:rPr>
          <w:fldChar w:fldCharType="separate"/>
        </w:r>
        <w:r w:rsidR="00303172">
          <w:rPr>
            <w:noProof/>
            <w:webHidden/>
          </w:rPr>
          <w:t>11</w:t>
        </w:r>
        <w:r w:rsidR="00CE4424">
          <w:rPr>
            <w:noProof/>
            <w:webHidden/>
          </w:rPr>
          <w:fldChar w:fldCharType="end"/>
        </w:r>
      </w:hyperlink>
    </w:p>
    <w:p w14:paraId="238E5AFF" w14:textId="77777777" w:rsidR="00CE4424" w:rsidRDefault="00570D51">
      <w:pPr>
        <w:pStyle w:val="TOC2"/>
        <w:tabs>
          <w:tab w:val="left" w:pos="660"/>
          <w:tab w:val="right" w:leader="dot" w:pos="9350"/>
        </w:tabs>
        <w:rPr>
          <w:rFonts w:asciiTheme="minorHAnsi" w:eastAsiaTheme="minorEastAsia" w:hAnsiTheme="minorHAnsi" w:cstheme="minorBidi"/>
          <w:noProof/>
        </w:rPr>
      </w:pPr>
      <w:hyperlink w:anchor="_Toc132812359" w:history="1">
        <w:r w:rsidR="00CE4424" w:rsidRPr="00255FEA">
          <w:rPr>
            <w:rStyle w:val="Hyperlink"/>
            <w:rFonts w:eastAsia="SimSun"/>
            <w:noProof/>
            <w:bdr w:val="none" w:sz="0" w:space="0" w:color="auto" w:frame="1"/>
          </w:rPr>
          <w:t>5.</w:t>
        </w:r>
        <w:r w:rsidR="00CE4424">
          <w:rPr>
            <w:rFonts w:asciiTheme="minorHAnsi" w:eastAsiaTheme="minorEastAsia" w:hAnsiTheme="minorHAnsi" w:cstheme="minorBidi"/>
            <w:noProof/>
          </w:rPr>
          <w:tab/>
        </w:r>
        <w:r w:rsidR="00CE4424" w:rsidRPr="00255FEA">
          <w:rPr>
            <w:rStyle w:val="Hyperlink"/>
            <w:rFonts w:eastAsia="SimSun"/>
            <w:noProof/>
            <w:bdr w:val="none" w:sz="0" w:space="0" w:color="auto" w:frame="1"/>
          </w:rPr>
          <w:t>Evidențe privind intervențiile pentru controlul consumului de tutun</w:t>
        </w:r>
        <w:r w:rsidR="00CE4424">
          <w:rPr>
            <w:noProof/>
            <w:webHidden/>
          </w:rPr>
          <w:tab/>
        </w:r>
        <w:r w:rsidR="00CE4424">
          <w:rPr>
            <w:noProof/>
            <w:webHidden/>
          </w:rPr>
          <w:fldChar w:fldCharType="begin"/>
        </w:r>
        <w:r w:rsidR="00CE4424">
          <w:rPr>
            <w:noProof/>
            <w:webHidden/>
          </w:rPr>
          <w:instrText xml:space="preserve"> PAGEREF _Toc132812359 \h </w:instrText>
        </w:r>
        <w:r w:rsidR="00CE4424">
          <w:rPr>
            <w:noProof/>
            <w:webHidden/>
          </w:rPr>
        </w:r>
        <w:r w:rsidR="00CE4424">
          <w:rPr>
            <w:noProof/>
            <w:webHidden/>
          </w:rPr>
          <w:fldChar w:fldCharType="separate"/>
        </w:r>
        <w:r w:rsidR="00303172">
          <w:rPr>
            <w:noProof/>
            <w:webHidden/>
          </w:rPr>
          <w:t>12</w:t>
        </w:r>
        <w:r w:rsidR="00CE4424">
          <w:rPr>
            <w:noProof/>
            <w:webHidden/>
          </w:rPr>
          <w:fldChar w:fldCharType="end"/>
        </w:r>
      </w:hyperlink>
    </w:p>
    <w:p w14:paraId="2745B464" w14:textId="77777777" w:rsidR="00CE4424" w:rsidRDefault="00570D51">
      <w:pPr>
        <w:pStyle w:val="TOC2"/>
        <w:tabs>
          <w:tab w:val="left" w:pos="660"/>
          <w:tab w:val="right" w:leader="dot" w:pos="9350"/>
        </w:tabs>
        <w:rPr>
          <w:rFonts w:asciiTheme="minorHAnsi" w:eastAsiaTheme="minorEastAsia" w:hAnsiTheme="minorHAnsi" w:cstheme="minorBidi"/>
          <w:noProof/>
        </w:rPr>
      </w:pPr>
      <w:hyperlink w:anchor="_Toc132812360" w:history="1">
        <w:r w:rsidR="00CE4424" w:rsidRPr="00255FEA">
          <w:rPr>
            <w:rStyle w:val="Hyperlink"/>
            <w:rFonts w:eastAsia="SimSun"/>
            <w:noProof/>
            <w:bdr w:val="none" w:sz="0" w:space="0" w:color="auto" w:frame="1"/>
          </w:rPr>
          <w:t>6.</w:t>
        </w:r>
        <w:r w:rsidR="00CE4424">
          <w:rPr>
            <w:rFonts w:asciiTheme="minorHAnsi" w:eastAsiaTheme="minorEastAsia" w:hAnsiTheme="minorHAnsi" w:cstheme="minorBidi"/>
            <w:noProof/>
          </w:rPr>
          <w:tab/>
        </w:r>
        <w:r w:rsidR="00CE4424" w:rsidRPr="00255FEA">
          <w:rPr>
            <w:rStyle w:val="Hyperlink"/>
            <w:rFonts w:eastAsia="SimSun"/>
            <w:noProof/>
            <w:bdr w:val="none" w:sz="0" w:space="0" w:color="auto" w:frame="1"/>
          </w:rPr>
          <w:t>Prezentarea succintă și analiza grupurilor țintă</w:t>
        </w:r>
        <w:r w:rsidR="00CE4424">
          <w:rPr>
            <w:noProof/>
            <w:webHidden/>
          </w:rPr>
          <w:tab/>
        </w:r>
        <w:r w:rsidR="00CE4424">
          <w:rPr>
            <w:noProof/>
            <w:webHidden/>
          </w:rPr>
          <w:fldChar w:fldCharType="begin"/>
        </w:r>
        <w:r w:rsidR="00CE4424">
          <w:rPr>
            <w:noProof/>
            <w:webHidden/>
          </w:rPr>
          <w:instrText xml:space="preserve"> PAGEREF _Toc132812360 \h </w:instrText>
        </w:r>
        <w:r w:rsidR="00CE4424">
          <w:rPr>
            <w:noProof/>
            <w:webHidden/>
          </w:rPr>
        </w:r>
        <w:r w:rsidR="00CE4424">
          <w:rPr>
            <w:noProof/>
            <w:webHidden/>
          </w:rPr>
          <w:fldChar w:fldCharType="separate"/>
        </w:r>
        <w:r w:rsidR="00303172">
          <w:rPr>
            <w:noProof/>
            <w:webHidden/>
          </w:rPr>
          <w:t>14</w:t>
        </w:r>
        <w:r w:rsidR="00CE4424">
          <w:rPr>
            <w:noProof/>
            <w:webHidden/>
          </w:rPr>
          <w:fldChar w:fldCharType="end"/>
        </w:r>
      </w:hyperlink>
    </w:p>
    <w:p w14:paraId="38262C4E" w14:textId="77777777" w:rsidR="00CE4424" w:rsidRDefault="00570D51">
      <w:pPr>
        <w:pStyle w:val="TOC3"/>
        <w:tabs>
          <w:tab w:val="right" w:leader="dot" w:pos="9350"/>
        </w:tabs>
        <w:rPr>
          <w:rFonts w:asciiTheme="minorHAnsi" w:eastAsiaTheme="minorEastAsia" w:hAnsiTheme="minorHAnsi" w:cstheme="minorBidi"/>
          <w:noProof/>
        </w:rPr>
      </w:pPr>
      <w:hyperlink w:anchor="_Toc132812361" w:history="1">
        <w:r w:rsidR="00CE4424" w:rsidRPr="00255FEA">
          <w:rPr>
            <w:rStyle w:val="Hyperlink"/>
            <w:rFonts w:eastAsia="SimSun"/>
            <w:noProof/>
          </w:rPr>
          <w:t>Consumul de tutun în rândul adolescenților – vârsta de începere a fumatului</w:t>
        </w:r>
        <w:r w:rsidR="00CE4424">
          <w:rPr>
            <w:noProof/>
            <w:webHidden/>
          </w:rPr>
          <w:tab/>
        </w:r>
        <w:r w:rsidR="00CE4424">
          <w:rPr>
            <w:noProof/>
            <w:webHidden/>
          </w:rPr>
          <w:fldChar w:fldCharType="begin"/>
        </w:r>
        <w:r w:rsidR="00CE4424">
          <w:rPr>
            <w:noProof/>
            <w:webHidden/>
          </w:rPr>
          <w:instrText xml:space="preserve"> PAGEREF _Toc132812361 \h </w:instrText>
        </w:r>
        <w:r w:rsidR="00CE4424">
          <w:rPr>
            <w:noProof/>
            <w:webHidden/>
          </w:rPr>
        </w:r>
        <w:r w:rsidR="00CE4424">
          <w:rPr>
            <w:noProof/>
            <w:webHidden/>
          </w:rPr>
          <w:fldChar w:fldCharType="separate"/>
        </w:r>
        <w:r w:rsidR="00303172">
          <w:rPr>
            <w:noProof/>
            <w:webHidden/>
          </w:rPr>
          <w:t>14</w:t>
        </w:r>
        <w:r w:rsidR="00CE4424">
          <w:rPr>
            <w:noProof/>
            <w:webHidden/>
          </w:rPr>
          <w:fldChar w:fldCharType="end"/>
        </w:r>
      </w:hyperlink>
    </w:p>
    <w:p w14:paraId="2B7E8D38" w14:textId="77777777" w:rsidR="00CE4424" w:rsidRDefault="00570D51">
      <w:pPr>
        <w:pStyle w:val="TOC3"/>
        <w:tabs>
          <w:tab w:val="right" w:leader="dot" w:pos="9350"/>
        </w:tabs>
        <w:rPr>
          <w:rFonts w:asciiTheme="minorHAnsi" w:eastAsiaTheme="minorEastAsia" w:hAnsiTheme="minorHAnsi" w:cstheme="minorBidi"/>
          <w:noProof/>
        </w:rPr>
      </w:pPr>
      <w:hyperlink w:anchor="_Toc132812362" w:history="1">
        <w:r w:rsidR="00CE4424" w:rsidRPr="00255FEA">
          <w:rPr>
            <w:rStyle w:val="Hyperlink"/>
            <w:rFonts w:eastAsia="SimSun"/>
            <w:noProof/>
          </w:rPr>
          <w:t>Consumul de tutun în rândul adolescenților – prevalența fumatului</w:t>
        </w:r>
        <w:r w:rsidR="00CE4424">
          <w:rPr>
            <w:noProof/>
            <w:webHidden/>
          </w:rPr>
          <w:tab/>
        </w:r>
        <w:r w:rsidR="00CE4424">
          <w:rPr>
            <w:noProof/>
            <w:webHidden/>
          </w:rPr>
          <w:fldChar w:fldCharType="begin"/>
        </w:r>
        <w:r w:rsidR="00CE4424">
          <w:rPr>
            <w:noProof/>
            <w:webHidden/>
          </w:rPr>
          <w:instrText xml:space="preserve"> PAGEREF _Toc132812362 \h </w:instrText>
        </w:r>
        <w:r w:rsidR="00CE4424">
          <w:rPr>
            <w:noProof/>
            <w:webHidden/>
          </w:rPr>
        </w:r>
        <w:r w:rsidR="00CE4424">
          <w:rPr>
            <w:noProof/>
            <w:webHidden/>
          </w:rPr>
          <w:fldChar w:fldCharType="separate"/>
        </w:r>
        <w:r w:rsidR="00303172">
          <w:rPr>
            <w:noProof/>
            <w:webHidden/>
          </w:rPr>
          <w:t>17</w:t>
        </w:r>
        <w:r w:rsidR="00CE4424">
          <w:rPr>
            <w:noProof/>
            <w:webHidden/>
          </w:rPr>
          <w:fldChar w:fldCharType="end"/>
        </w:r>
      </w:hyperlink>
    </w:p>
    <w:p w14:paraId="30FC71DD" w14:textId="77777777" w:rsidR="00CE4424" w:rsidRDefault="00570D51">
      <w:pPr>
        <w:pStyle w:val="TOC3"/>
        <w:tabs>
          <w:tab w:val="right" w:leader="dot" w:pos="9350"/>
        </w:tabs>
        <w:rPr>
          <w:rFonts w:asciiTheme="minorHAnsi" w:eastAsiaTheme="minorEastAsia" w:hAnsiTheme="minorHAnsi" w:cstheme="minorBidi"/>
          <w:noProof/>
        </w:rPr>
      </w:pPr>
      <w:hyperlink w:anchor="_Toc132812363" w:history="1">
        <w:r w:rsidR="00CE4424" w:rsidRPr="00255FEA">
          <w:rPr>
            <w:rStyle w:val="Hyperlink"/>
            <w:rFonts w:eastAsia="SimSun"/>
            <w:noProof/>
          </w:rPr>
          <w:t>Date cu rezultate relevante din studiile naționale, europene</w:t>
        </w:r>
        <w:r w:rsidR="00CE4424">
          <w:rPr>
            <w:noProof/>
            <w:webHidden/>
          </w:rPr>
          <w:tab/>
        </w:r>
        <w:r w:rsidR="00CE4424">
          <w:rPr>
            <w:noProof/>
            <w:webHidden/>
          </w:rPr>
          <w:fldChar w:fldCharType="begin"/>
        </w:r>
        <w:r w:rsidR="00CE4424">
          <w:rPr>
            <w:noProof/>
            <w:webHidden/>
          </w:rPr>
          <w:instrText xml:space="preserve"> PAGEREF _Toc132812363 \h </w:instrText>
        </w:r>
        <w:r w:rsidR="00CE4424">
          <w:rPr>
            <w:noProof/>
            <w:webHidden/>
          </w:rPr>
        </w:r>
        <w:r w:rsidR="00CE4424">
          <w:rPr>
            <w:noProof/>
            <w:webHidden/>
          </w:rPr>
          <w:fldChar w:fldCharType="separate"/>
        </w:r>
        <w:r w:rsidR="00303172">
          <w:rPr>
            <w:noProof/>
            <w:webHidden/>
          </w:rPr>
          <w:t>21</w:t>
        </w:r>
        <w:r w:rsidR="00CE4424">
          <w:rPr>
            <w:noProof/>
            <w:webHidden/>
          </w:rPr>
          <w:fldChar w:fldCharType="end"/>
        </w:r>
      </w:hyperlink>
    </w:p>
    <w:p w14:paraId="5FA900ED" w14:textId="77777777" w:rsidR="00CE4424" w:rsidRDefault="00570D51">
      <w:pPr>
        <w:pStyle w:val="TOC2"/>
        <w:tabs>
          <w:tab w:val="right" w:leader="dot" w:pos="9350"/>
        </w:tabs>
        <w:rPr>
          <w:rFonts w:asciiTheme="minorHAnsi" w:eastAsiaTheme="minorEastAsia" w:hAnsiTheme="minorHAnsi" w:cstheme="minorBidi"/>
          <w:noProof/>
        </w:rPr>
      </w:pPr>
      <w:hyperlink w:anchor="_Toc132812364" w:history="1">
        <w:r w:rsidR="00CE4424" w:rsidRPr="00255FEA">
          <w:rPr>
            <w:rStyle w:val="Hyperlink"/>
            <w:rFonts w:eastAsia="SimSun"/>
            <w:noProof/>
            <w:bdr w:val="none" w:sz="0" w:space="0" w:color="auto" w:frame="1"/>
          </w:rPr>
          <w:t>Concluzii</w:t>
        </w:r>
        <w:r w:rsidR="00CE4424">
          <w:rPr>
            <w:noProof/>
            <w:webHidden/>
          </w:rPr>
          <w:tab/>
        </w:r>
        <w:r w:rsidR="00CE4424">
          <w:rPr>
            <w:noProof/>
            <w:webHidden/>
          </w:rPr>
          <w:fldChar w:fldCharType="begin"/>
        </w:r>
        <w:r w:rsidR="00CE4424">
          <w:rPr>
            <w:noProof/>
            <w:webHidden/>
          </w:rPr>
          <w:instrText xml:space="preserve"> PAGEREF _Toc132812364 \h </w:instrText>
        </w:r>
        <w:r w:rsidR="00CE4424">
          <w:rPr>
            <w:noProof/>
            <w:webHidden/>
          </w:rPr>
        </w:r>
        <w:r w:rsidR="00CE4424">
          <w:rPr>
            <w:noProof/>
            <w:webHidden/>
          </w:rPr>
          <w:fldChar w:fldCharType="separate"/>
        </w:r>
        <w:r w:rsidR="00303172">
          <w:rPr>
            <w:noProof/>
            <w:webHidden/>
          </w:rPr>
          <w:t>25</w:t>
        </w:r>
        <w:r w:rsidR="00CE4424">
          <w:rPr>
            <w:noProof/>
            <w:webHidden/>
          </w:rPr>
          <w:fldChar w:fldCharType="end"/>
        </w:r>
      </w:hyperlink>
    </w:p>
    <w:p w14:paraId="71957589" w14:textId="77777777" w:rsidR="00CE4424" w:rsidRDefault="00570D51">
      <w:pPr>
        <w:pStyle w:val="TOC1"/>
        <w:tabs>
          <w:tab w:val="right" w:leader="dot" w:pos="9350"/>
        </w:tabs>
        <w:rPr>
          <w:rFonts w:asciiTheme="minorHAnsi" w:eastAsiaTheme="minorEastAsia" w:hAnsiTheme="minorHAnsi" w:cstheme="minorBidi"/>
          <w:noProof/>
        </w:rPr>
      </w:pPr>
      <w:hyperlink w:anchor="_Toc132812365" w:history="1">
        <w:r w:rsidR="00CE4424" w:rsidRPr="00255FEA">
          <w:rPr>
            <w:rStyle w:val="Hyperlink"/>
            <w:rFonts w:eastAsia="SimSun"/>
            <w:noProof/>
          </w:rPr>
          <w:t>Bibliografie</w:t>
        </w:r>
        <w:r w:rsidR="00CE4424">
          <w:rPr>
            <w:noProof/>
            <w:webHidden/>
          </w:rPr>
          <w:tab/>
        </w:r>
        <w:r w:rsidR="00CE4424">
          <w:rPr>
            <w:noProof/>
            <w:webHidden/>
          </w:rPr>
          <w:fldChar w:fldCharType="begin"/>
        </w:r>
        <w:r w:rsidR="00CE4424">
          <w:rPr>
            <w:noProof/>
            <w:webHidden/>
          </w:rPr>
          <w:instrText xml:space="preserve"> PAGEREF _Toc132812365 \h </w:instrText>
        </w:r>
        <w:r w:rsidR="00CE4424">
          <w:rPr>
            <w:noProof/>
            <w:webHidden/>
          </w:rPr>
        </w:r>
        <w:r w:rsidR="00CE4424">
          <w:rPr>
            <w:noProof/>
            <w:webHidden/>
          </w:rPr>
          <w:fldChar w:fldCharType="separate"/>
        </w:r>
        <w:r w:rsidR="00303172">
          <w:rPr>
            <w:noProof/>
            <w:webHidden/>
          </w:rPr>
          <w:t>26</w:t>
        </w:r>
        <w:r w:rsidR="00CE4424">
          <w:rPr>
            <w:noProof/>
            <w:webHidden/>
          </w:rPr>
          <w:fldChar w:fldCharType="end"/>
        </w:r>
      </w:hyperlink>
    </w:p>
    <w:p w14:paraId="53486E62" w14:textId="6FE5600A" w:rsidR="00E910F1" w:rsidRDefault="008A6A9F" w:rsidP="008F02FE">
      <w:pPr>
        <w:rPr>
          <w:b/>
          <w:bCs/>
          <w:color w:val="4E82BE"/>
        </w:rPr>
      </w:pPr>
      <w:r w:rsidRPr="00426215">
        <w:rPr>
          <w:b/>
          <w:bCs/>
          <w:noProof/>
          <w:sz w:val="20"/>
          <w:szCs w:val="20"/>
        </w:rPr>
        <w:fldChar w:fldCharType="end"/>
      </w:r>
      <w:r>
        <w:br w:type="page"/>
      </w:r>
    </w:p>
    <w:p w14:paraId="1CBF8E94" w14:textId="1C5AED44" w:rsidR="00F83408" w:rsidRDefault="00F83408" w:rsidP="008A6A9F">
      <w:pPr>
        <w:pStyle w:val="Heading2"/>
        <w:spacing w:before="120" w:after="120"/>
        <w:rPr>
          <w:bdr w:val="none" w:sz="0" w:space="0" w:color="auto" w:frame="1"/>
        </w:rPr>
      </w:pPr>
      <w:bookmarkStart w:id="0" w:name="_Toc132812347"/>
      <w:r>
        <w:rPr>
          <w:bdr w:val="none" w:sz="0" w:space="0" w:color="auto" w:frame="1"/>
        </w:rPr>
        <w:lastRenderedPageBreak/>
        <w:t>Introducere</w:t>
      </w:r>
      <w:bookmarkEnd w:id="0"/>
    </w:p>
    <w:p w14:paraId="7BCD8998" w14:textId="309F4DAC" w:rsidR="00F83408" w:rsidRPr="0009222B" w:rsidRDefault="00F83408" w:rsidP="008932DC">
      <w:pPr>
        <w:rPr>
          <w:bdr w:val="none" w:sz="0" w:space="0" w:color="auto" w:frame="1"/>
        </w:rPr>
      </w:pPr>
      <w:r w:rsidRPr="0009222B">
        <w:rPr>
          <w:bdr w:val="none" w:sz="0" w:space="0" w:color="auto" w:frame="1"/>
        </w:rPr>
        <w:t>Consumul de tutun este principala cauză de deces prevenibilă în lume. Fumul de tutun conține peste 7.000 de substanțe chimice toxice, iar</w:t>
      </w:r>
      <w:r>
        <w:rPr>
          <w:bdr w:val="none" w:sz="0" w:space="0" w:color="auto" w:frame="1"/>
        </w:rPr>
        <w:t xml:space="preserve"> </w:t>
      </w:r>
      <w:r w:rsidRPr="0009222B">
        <w:rPr>
          <w:bdr w:val="none" w:sz="0" w:space="0" w:color="auto" w:frame="1"/>
        </w:rPr>
        <w:t>fumat</w:t>
      </w:r>
      <w:r>
        <w:rPr>
          <w:bdr w:val="none" w:sz="0" w:space="0" w:color="auto" w:frame="1"/>
        </w:rPr>
        <w:t>ul pe parcursul unei vieți poate să ducă în medie la scurtarea vieții unei persoane cu cel puțin 10 ani</w:t>
      </w:r>
      <w:r w:rsidRPr="0009222B">
        <w:rPr>
          <w:bdr w:val="none" w:sz="0" w:space="0" w:color="auto" w:frame="1"/>
        </w:rPr>
        <w:t xml:space="preserve">. Aproximativ un sfert din anii productivi din viață pierduți </w:t>
      </w:r>
      <w:r w:rsidR="00FC1683">
        <w:rPr>
          <w:bdr w:val="none" w:sz="0" w:space="0" w:color="auto" w:frame="1"/>
        </w:rPr>
        <w:t>prin</w:t>
      </w:r>
      <w:r w:rsidRPr="0009222B">
        <w:rPr>
          <w:bdr w:val="none" w:sz="0" w:space="0" w:color="auto" w:frame="1"/>
        </w:rPr>
        <w:t xml:space="preserve"> dizabilit</w:t>
      </w:r>
      <w:r w:rsidR="00FC1683">
        <w:rPr>
          <w:bdr w:val="none" w:sz="0" w:space="0" w:color="auto" w:frame="1"/>
        </w:rPr>
        <w:t>ate au drept cauză</w:t>
      </w:r>
      <w:r w:rsidRPr="0009222B">
        <w:rPr>
          <w:bdr w:val="none" w:sz="0" w:space="0" w:color="auto" w:frame="1"/>
        </w:rPr>
        <w:t xml:space="preserve"> bolil</w:t>
      </w:r>
      <w:r w:rsidR="00BC10D9">
        <w:rPr>
          <w:bdr w:val="none" w:sz="0" w:space="0" w:color="auto" w:frame="1"/>
        </w:rPr>
        <w:t>e</w:t>
      </w:r>
      <w:r w:rsidRPr="0009222B">
        <w:rPr>
          <w:bdr w:val="none" w:sz="0" w:space="0" w:color="auto" w:frame="1"/>
        </w:rPr>
        <w:t xml:space="preserve"> </w:t>
      </w:r>
      <w:r>
        <w:rPr>
          <w:bdr w:val="none" w:sz="0" w:space="0" w:color="auto" w:frame="1"/>
        </w:rPr>
        <w:t xml:space="preserve">atribuibile consumului de </w:t>
      </w:r>
      <w:r w:rsidRPr="0009222B">
        <w:rPr>
          <w:bdr w:val="none" w:sz="0" w:space="0" w:color="auto" w:frame="1"/>
        </w:rPr>
        <w:t>tutun.</w:t>
      </w:r>
      <w:r>
        <w:rPr>
          <w:bdr w:val="none" w:sz="0" w:space="0" w:color="auto" w:frame="1"/>
        </w:rPr>
        <w:t xml:space="preserve"> </w:t>
      </w:r>
      <w:r w:rsidR="000A3C42">
        <w:rPr>
          <w:noProof/>
          <w:bdr w:val="none" w:sz="0" w:space="0" w:color="auto" w:frame="1"/>
          <w:lang w:val="ro-RO"/>
        </w:rPr>
        <w:t xml:space="preserve"> </w:t>
      </w:r>
      <w:sdt>
        <w:sdtPr>
          <w:rPr>
            <w:noProof/>
            <w:bdr w:val="none" w:sz="0" w:space="0" w:color="auto" w:frame="1"/>
            <w:lang w:val="ro-RO"/>
          </w:rPr>
          <w:id w:val="1042638890"/>
          <w:citation/>
        </w:sdtPr>
        <w:sdtContent>
          <w:r w:rsidR="00F81A3F">
            <w:rPr>
              <w:noProof/>
              <w:bdr w:val="none" w:sz="0" w:space="0" w:color="auto" w:frame="1"/>
              <w:lang w:val="ro-RO"/>
            </w:rPr>
            <w:fldChar w:fldCharType="begin"/>
          </w:r>
          <w:r w:rsidR="00F81A3F">
            <w:rPr>
              <w:noProof/>
              <w:bdr w:val="none" w:sz="0" w:space="0" w:color="auto" w:frame="1"/>
              <w:lang w:val="ro-RO"/>
            </w:rPr>
            <w:instrText xml:space="preserve"> CITATION Vit22 \l 1048 </w:instrText>
          </w:r>
          <w:r w:rsidR="00F81A3F">
            <w:rPr>
              <w:noProof/>
              <w:bdr w:val="none" w:sz="0" w:space="0" w:color="auto" w:frame="1"/>
              <w:lang w:val="ro-RO"/>
            </w:rPr>
            <w:fldChar w:fldCharType="separate"/>
          </w:r>
          <w:r w:rsidR="00CE4424" w:rsidRPr="00CE4424">
            <w:rPr>
              <w:noProof/>
              <w:bdr w:val="none" w:sz="0" w:space="0" w:color="auto" w:frame="1"/>
              <w:lang w:val="ro-RO"/>
            </w:rPr>
            <w:t>(Vital Strategies and Tobacconomics at the University of Illinois Chicago, 2021, Last updated: May 2022)</w:t>
          </w:r>
          <w:r w:rsidR="00F81A3F">
            <w:rPr>
              <w:noProof/>
              <w:bdr w:val="none" w:sz="0" w:space="0" w:color="auto" w:frame="1"/>
              <w:lang w:val="ro-RO"/>
            </w:rPr>
            <w:fldChar w:fldCharType="end"/>
          </w:r>
        </w:sdtContent>
      </w:sdt>
      <w:r w:rsidR="00F81A3F">
        <w:rPr>
          <w:noProof/>
          <w:bdr w:val="none" w:sz="0" w:space="0" w:color="auto" w:frame="1"/>
          <w:lang w:val="ro-RO"/>
        </w:rPr>
        <w:t xml:space="preserve"> </w:t>
      </w:r>
    </w:p>
    <w:p w14:paraId="17249783" w14:textId="6E628A81" w:rsidR="00F83408" w:rsidRDefault="008C3E86" w:rsidP="008932DC">
      <w:pPr>
        <w:rPr>
          <w:bdr w:val="none" w:sz="0" w:space="0" w:color="auto" w:frame="1"/>
        </w:rPr>
      </w:pPr>
      <w:r w:rsidRPr="008C3E86">
        <w:rPr>
          <w:noProof/>
          <w:bdr w:val="none" w:sz="0" w:space="0" w:color="auto" w:frame="1"/>
        </w:rPr>
        <mc:AlternateContent>
          <mc:Choice Requires="wpg">
            <w:drawing>
              <wp:anchor distT="45720" distB="45720" distL="182880" distR="182880" simplePos="0" relativeHeight="251659264" behindDoc="0" locked="0" layoutInCell="1" allowOverlap="1" wp14:anchorId="0A12DA23" wp14:editId="4E394FE5">
                <wp:simplePos x="0" y="0"/>
                <wp:positionH relativeFrom="margin">
                  <wp:posOffset>-55880</wp:posOffset>
                </wp:positionH>
                <wp:positionV relativeFrom="margin">
                  <wp:posOffset>1229360</wp:posOffset>
                </wp:positionV>
                <wp:extent cx="3566160" cy="1163322"/>
                <wp:effectExtent l="0" t="0" r="0" b="0"/>
                <wp:wrapSquare wrapText="bothSides"/>
                <wp:docPr id="198" name="Group 198"/>
                <wp:cNvGraphicFramePr/>
                <a:graphic xmlns:a="http://schemas.openxmlformats.org/drawingml/2006/main">
                  <a:graphicData uri="http://schemas.microsoft.com/office/word/2010/wordprocessingGroup">
                    <wpg:wgp>
                      <wpg:cNvGrpSpPr/>
                      <wpg:grpSpPr>
                        <a:xfrm>
                          <a:off x="0" y="0"/>
                          <a:ext cx="3566160" cy="1163322"/>
                          <a:chOff x="0" y="0"/>
                          <a:chExt cx="3567448" cy="1163078"/>
                        </a:xfrm>
                      </wpg:grpSpPr>
                      <wps:wsp>
                        <wps:cNvPr id="199" name="Rectangle 199"/>
                        <wps:cNvSpPr/>
                        <wps:spPr>
                          <a:xfrm>
                            <a:off x="0" y="0"/>
                            <a:ext cx="3567448" cy="27060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EB3EFA" w14:textId="77777777" w:rsidR="00570D51" w:rsidRPr="00AF3C18" w:rsidRDefault="00570D51">
                              <w:pPr>
                                <w:jc w:val="center"/>
                                <w:rPr>
                                  <w:rFonts w:eastAsiaTheme="majorEastAsia"/>
                                  <w:color w:val="385623" w:themeColor="accent6"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79"/>
                            <a:ext cx="3567448" cy="9103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7AC10" w14:textId="0BD00527" w:rsidR="00570D51" w:rsidRPr="00AF3C18" w:rsidRDefault="00570D51">
                              <w:pPr>
                                <w:rPr>
                                  <w:caps/>
                                  <w:color w:val="385623" w:themeColor="accent6" w:themeShade="80"/>
                                  <w:sz w:val="20"/>
                                  <w:szCs w:val="20"/>
                                </w:rPr>
                              </w:pPr>
                              <w:r w:rsidRPr="00AF3C18">
                                <w:rPr>
                                  <w:caps/>
                                  <w:color w:val="385623" w:themeColor="accent6" w:themeShade="80"/>
                                  <w:sz w:val="20"/>
                                  <w:szCs w:val="20"/>
                                </w:rPr>
                                <w:t>7,69 milioane de decese anual atribuibile fumatului în lume</w:t>
                              </w:r>
                            </w:p>
                            <w:p w14:paraId="270A169A" w14:textId="543A5BAD" w:rsidR="00570D51" w:rsidRPr="00AF3C18" w:rsidRDefault="00570D51">
                              <w:pPr>
                                <w:rPr>
                                  <w:caps/>
                                  <w:color w:val="385623" w:themeColor="accent6" w:themeShade="80"/>
                                  <w:sz w:val="20"/>
                                  <w:szCs w:val="20"/>
                                </w:rPr>
                              </w:pPr>
                              <w:r w:rsidRPr="00AF3C18">
                                <w:rPr>
                                  <w:caps/>
                                  <w:color w:val="385623" w:themeColor="accent6" w:themeShade="80"/>
                                  <w:sz w:val="20"/>
                                  <w:szCs w:val="20"/>
                                </w:rPr>
                                <w:t>200 de milioane de ani de viață pierduți prin dizabilitate (DALY) atribuibili fumatului anual</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A12DA23" id="Group 198" o:spid="_x0000_s1026" style="position:absolute;left:0;text-align:left;margin-left:-4.4pt;margin-top:96.8pt;width:280.8pt;height:91.6pt;z-index:251659264;mso-wrap-distance-left:14.4pt;mso-wrap-distance-top:3.6pt;mso-wrap-distance-right:14.4pt;mso-wrap-distance-bottom:3.6pt;mso-position-horizontal-relative:margin;mso-position-vertical-relative:margin;mso-width-relative:margin;mso-height-relative:margin" coordsize="35674,1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">
                <v:rect id="Rectangle 199" o:spid="_x0000_s1027"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aBMMA&#10;AADcAAAADwAAAGRycy9kb3ducmV2LnhtbERPS2uDQBC+F/Iflgn0Vtf0EBrjJgQxJIXmUPM4D+5E&#10;Je6suFu1/75bKPQ2H99z0u1kWjFQ7xrLChZRDIK4tLrhSsHlvH95A+E8ssbWMin4JgfbzewpxUTb&#10;kT9pKHwlQgi7BBXU3neJlK6syaCLbEccuLvtDfoA+0rqHscQblr5GsdLabDh0FBjR1lN5aP4Mgre&#10;T4dbczLXsTrfs+mjeOTlcMiVep5PuzUIT5P/F/+5jzrMX63g95lw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aBMMAAADcAAAADwAAAAAAAAAAAAAAAACYAgAAZHJzL2Rv&#10;d25yZXYueG1sUEsFBgAAAAAEAAQA9QAAAIgDAAAAAA==&#10;" fillcolor="#375623 [1609]" stroked="f" strokeweight="1pt">
                  <v:textbox>
                    <w:txbxContent>
                      <w:p w14:paraId="01EB3EFA" w14:textId="77777777" w:rsidR="00570D51" w:rsidRPr="00AF3C18" w:rsidRDefault="00570D51">
                        <w:pPr>
                          <w:jc w:val="center"/>
                          <w:rPr>
                            <w:rFonts w:eastAsiaTheme="majorEastAsia"/>
                            <w:color w:val="385623" w:themeColor="accent6" w:themeShade="80"/>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9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jcR8UA&#10;AADcAAAADwAAAGRycy9kb3ducmV2LnhtbESPT2vCQBTE74V+h+UJvdWNFVRiNqG0VMylUC0Ub4/s&#10;M4nNvg3ZzR+/vVsoeBxm5jdMkk2mEQN1rrasYDGPQBAXVtdcKvg+fjxvQDiPrLGxTAqu5CBLHx8S&#10;jLUd+YuGgy9FgLCLUUHlfRtL6YqKDLq5bYmDd7adQR9kV0rd4RjgppEvUbSSBmsOCxW29FZR8Xvo&#10;jYKf5WWzc3nUv/fLTy/X65PUu1ypp9n0ugXhafL38H97rxUEIvydCUd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NxHxQAAANwAAAAPAAAAAAAAAAAAAAAAAJgCAABkcnMv&#10;ZG93bnJldi54bWxQSwUGAAAAAAQABAD1AAAAigMAAAAA&#10;" filled="f" stroked="f" strokeweight=".5pt">
                  <v:textbox style="mso-fit-shape-to-text:t" inset=",7.2pt,,0">
                    <w:txbxContent>
                      <w:p w14:paraId="6137AC10" w14:textId="0BD00527" w:rsidR="00570D51" w:rsidRPr="00AF3C18" w:rsidRDefault="00570D51">
                        <w:pPr>
                          <w:rPr>
                            <w:caps/>
                            <w:color w:val="385623" w:themeColor="accent6" w:themeShade="80"/>
                            <w:sz w:val="20"/>
                            <w:szCs w:val="20"/>
                          </w:rPr>
                        </w:pPr>
                        <w:r w:rsidRPr="00AF3C18">
                          <w:rPr>
                            <w:caps/>
                            <w:color w:val="385623" w:themeColor="accent6" w:themeShade="80"/>
                            <w:sz w:val="20"/>
                            <w:szCs w:val="20"/>
                          </w:rPr>
                          <w:t>7,69 milioane de decese anual atribuibile fumatului în lume</w:t>
                        </w:r>
                      </w:p>
                      <w:p w14:paraId="270A169A" w14:textId="543A5BAD" w:rsidR="00570D51" w:rsidRPr="00AF3C18" w:rsidRDefault="00570D51">
                        <w:pPr>
                          <w:rPr>
                            <w:caps/>
                            <w:color w:val="385623" w:themeColor="accent6" w:themeShade="80"/>
                            <w:sz w:val="20"/>
                            <w:szCs w:val="20"/>
                          </w:rPr>
                        </w:pPr>
                        <w:r w:rsidRPr="00AF3C18">
                          <w:rPr>
                            <w:caps/>
                            <w:color w:val="385623" w:themeColor="accent6" w:themeShade="80"/>
                            <w:sz w:val="20"/>
                            <w:szCs w:val="20"/>
                          </w:rPr>
                          <w:t>200 de milioane de ani de viață pierduți prin dizabilitate (DALY) atribuibili fumatului anual</w:t>
                        </w:r>
                      </w:p>
                    </w:txbxContent>
                  </v:textbox>
                </v:shape>
                <w10:wrap type="square" anchorx="margin" anchory="margin"/>
              </v:group>
            </w:pict>
          </mc:Fallback>
        </mc:AlternateContent>
      </w:r>
      <w:r w:rsidR="00F83408" w:rsidRPr="0009222B">
        <w:rPr>
          <w:bdr w:val="none" w:sz="0" w:space="0" w:color="auto" w:frame="1"/>
        </w:rPr>
        <w:t xml:space="preserve">Pe glob, peste 8,7 milioane de oameni mor pe an din cauza consumului acestuia. Majoritatea acestor decese (7,4 milioane) sunt atribuite consumului direct de tutun, în timp ce restul de peste 1,3 milioane sunt atribuite expunerii la fumatul pasiv. Aproximativ 80% dintre aceste decese au loc în țările cu venituri mici și medii. </w:t>
      </w:r>
      <w:r w:rsidR="00562E29">
        <w:rPr>
          <w:noProof/>
          <w:bdr w:val="none" w:sz="0" w:space="0" w:color="auto" w:frame="1"/>
          <w:lang w:val="ro-RO"/>
        </w:rPr>
        <w:t xml:space="preserve"> </w:t>
      </w:r>
      <w:sdt>
        <w:sdtPr>
          <w:rPr>
            <w:noProof/>
            <w:bdr w:val="none" w:sz="0" w:space="0" w:color="auto" w:frame="1"/>
            <w:lang w:val="ro-RO"/>
          </w:rPr>
          <w:id w:val="-667174148"/>
          <w:citation/>
        </w:sdtPr>
        <w:sdtContent>
          <w:r w:rsidR="0077798A">
            <w:rPr>
              <w:noProof/>
              <w:bdr w:val="none" w:sz="0" w:space="0" w:color="auto" w:frame="1"/>
              <w:lang w:val="ro-RO"/>
            </w:rPr>
            <w:fldChar w:fldCharType="begin"/>
          </w:r>
          <w:r w:rsidR="0077798A">
            <w:rPr>
              <w:noProof/>
              <w:bdr w:val="none" w:sz="0" w:space="0" w:color="auto" w:frame="1"/>
              <w:lang w:val="ro-RO"/>
            </w:rPr>
            <w:instrText xml:space="preserve"> CITATION Vit22 \l 1048 </w:instrText>
          </w:r>
          <w:r w:rsidR="0077798A">
            <w:rPr>
              <w:noProof/>
              <w:bdr w:val="none" w:sz="0" w:space="0" w:color="auto" w:frame="1"/>
              <w:lang w:val="ro-RO"/>
            </w:rPr>
            <w:fldChar w:fldCharType="separate"/>
          </w:r>
          <w:r w:rsidR="00CE4424" w:rsidRPr="00CE4424">
            <w:rPr>
              <w:noProof/>
              <w:bdr w:val="none" w:sz="0" w:space="0" w:color="auto" w:frame="1"/>
              <w:lang w:val="ro-RO"/>
            </w:rPr>
            <w:t>(Vital Strategies and Tobacconomics at the University of Illinois Chicago, 2021, Last updated: May 2022)</w:t>
          </w:r>
          <w:r w:rsidR="0077798A">
            <w:rPr>
              <w:noProof/>
              <w:bdr w:val="none" w:sz="0" w:space="0" w:color="auto" w:frame="1"/>
              <w:lang w:val="ro-RO"/>
            </w:rPr>
            <w:fldChar w:fldCharType="end"/>
          </w:r>
        </w:sdtContent>
      </w:sdt>
    </w:p>
    <w:p w14:paraId="71D549D7" w14:textId="5815FC48" w:rsidR="009E3C91" w:rsidRDefault="009E3C91" w:rsidP="008932DC">
      <w:pPr>
        <w:rPr>
          <w:bdr w:val="none" w:sz="0" w:space="0" w:color="auto" w:frame="1"/>
        </w:rPr>
      </w:pPr>
      <w:r>
        <w:rPr>
          <w:bdr w:val="none" w:sz="0" w:space="0" w:color="auto" w:frame="1"/>
        </w:rPr>
        <w:t>Consumul de tutun reprezintă și cea mai important</w:t>
      </w:r>
      <w:r w:rsidR="00BC10D9">
        <w:rPr>
          <w:bdr w:val="none" w:sz="0" w:space="0" w:color="auto" w:frame="1"/>
        </w:rPr>
        <w:t>ă</w:t>
      </w:r>
      <w:r>
        <w:rPr>
          <w:bdr w:val="none" w:sz="0" w:space="0" w:color="auto" w:frame="1"/>
        </w:rPr>
        <w:t xml:space="preserve"> cauză de deces în Uniunea Europeană, unde este responsabil de aproximativ 700.000 de decese în fiecare an, fiind și unul dintre cei mai importanți factori de risc pentru sănătate care poate fi evitat.</w:t>
      </w:r>
      <w:r w:rsidR="00562E29">
        <w:rPr>
          <w:noProof/>
          <w:bdr w:val="none" w:sz="0" w:space="0" w:color="auto" w:frame="1"/>
          <w:lang w:val="ro-RO"/>
        </w:rPr>
        <w:t xml:space="preserve"> </w:t>
      </w:r>
      <w:r w:rsidR="000A3C42">
        <w:rPr>
          <w:noProof/>
          <w:bdr w:val="none" w:sz="0" w:space="0" w:color="auto" w:frame="1"/>
          <w:lang w:val="ro-RO"/>
        </w:rPr>
        <w:t xml:space="preserve"> </w:t>
      </w:r>
      <w:sdt>
        <w:sdtPr>
          <w:rPr>
            <w:noProof/>
            <w:bdr w:val="none" w:sz="0" w:space="0" w:color="auto" w:frame="1"/>
            <w:lang w:val="ro-RO"/>
          </w:rPr>
          <w:id w:val="1839352483"/>
          <w:citation/>
        </w:sdtPr>
        <w:sdtContent>
          <w:r w:rsidR="007E0567">
            <w:rPr>
              <w:noProof/>
              <w:bdr w:val="none" w:sz="0" w:space="0" w:color="auto" w:frame="1"/>
              <w:lang w:val="ro-RO"/>
            </w:rPr>
            <w:fldChar w:fldCharType="begin"/>
          </w:r>
          <w:r w:rsidR="007E0567">
            <w:rPr>
              <w:noProof/>
              <w:bdr w:val="none" w:sz="0" w:space="0" w:color="auto" w:frame="1"/>
              <w:lang w:val="ro-RO"/>
            </w:rPr>
            <w:instrText xml:space="preserve"> CITATION Eur22 \l 1048 </w:instrText>
          </w:r>
          <w:r w:rsidR="007E0567">
            <w:rPr>
              <w:noProof/>
              <w:bdr w:val="none" w:sz="0" w:space="0" w:color="auto" w:frame="1"/>
              <w:lang w:val="ro-RO"/>
            </w:rPr>
            <w:fldChar w:fldCharType="separate"/>
          </w:r>
          <w:r w:rsidR="00CE4424" w:rsidRPr="00CE4424">
            <w:rPr>
              <w:noProof/>
              <w:bdr w:val="none" w:sz="0" w:space="0" w:color="auto" w:frame="1"/>
              <w:lang w:val="ro-RO"/>
            </w:rPr>
            <w:t>(European Commission, 2022)</w:t>
          </w:r>
          <w:r w:rsidR="007E0567">
            <w:rPr>
              <w:noProof/>
              <w:bdr w:val="none" w:sz="0" w:space="0" w:color="auto" w:frame="1"/>
              <w:lang w:val="ro-RO"/>
            </w:rPr>
            <w:fldChar w:fldCharType="end"/>
          </w:r>
        </w:sdtContent>
      </w:sdt>
    </w:p>
    <w:p w14:paraId="1E7EA15D" w14:textId="744C1570" w:rsidR="00BC10D9" w:rsidRPr="0009222B" w:rsidRDefault="00BC10D9" w:rsidP="008932DC">
      <w:pPr>
        <w:rPr>
          <w:bdr w:val="none" w:sz="0" w:space="0" w:color="auto" w:frame="1"/>
        </w:rPr>
      </w:pPr>
      <w:r>
        <w:rPr>
          <w:bdr w:val="none" w:sz="0" w:space="0" w:color="auto" w:frame="1"/>
        </w:rPr>
        <w:t>În ciuda progresului obținut în reducerea prevalenței fumatului în Uniunea Europeană, numărul de fumători este mare, aproximativ 26% din toată populația și 29% dintre tinerii în vârstă de 15-24 de ani fumând.</w:t>
      </w:r>
      <w:sdt>
        <w:sdtPr>
          <w:rPr>
            <w:bdr w:val="none" w:sz="0" w:space="0" w:color="auto" w:frame="1"/>
          </w:rPr>
          <w:id w:val="458681490"/>
          <w:citation/>
        </w:sdtPr>
        <w:sdtContent>
          <w:r w:rsidR="0077798A">
            <w:rPr>
              <w:bdr w:val="none" w:sz="0" w:space="0" w:color="auto" w:frame="1"/>
            </w:rPr>
            <w:fldChar w:fldCharType="begin"/>
          </w:r>
          <w:r w:rsidR="0077798A">
            <w:rPr>
              <w:bdr w:val="none" w:sz="0" w:space="0" w:color="auto" w:frame="1"/>
              <w:lang w:val="ro-RO"/>
            </w:rPr>
            <w:instrText xml:space="preserve"> CITATION Eur22 \l 1048 </w:instrText>
          </w:r>
          <w:r w:rsidR="0077798A">
            <w:rPr>
              <w:bdr w:val="none" w:sz="0" w:space="0" w:color="auto" w:frame="1"/>
            </w:rPr>
            <w:fldChar w:fldCharType="separate"/>
          </w:r>
          <w:r w:rsidR="00CE4424">
            <w:rPr>
              <w:noProof/>
              <w:bdr w:val="none" w:sz="0" w:space="0" w:color="auto" w:frame="1"/>
              <w:lang w:val="ro-RO"/>
            </w:rPr>
            <w:t xml:space="preserve"> </w:t>
          </w:r>
          <w:r w:rsidR="00CE4424" w:rsidRPr="00CE4424">
            <w:rPr>
              <w:noProof/>
              <w:bdr w:val="none" w:sz="0" w:space="0" w:color="auto" w:frame="1"/>
              <w:lang w:val="ro-RO"/>
            </w:rPr>
            <w:t>(European Commission, 2022)</w:t>
          </w:r>
          <w:r w:rsidR="0077798A">
            <w:rPr>
              <w:bdr w:val="none" w:sz="0" w:space="0" w:color="auto" w:frame="1"/>
            </w:rPr>
            <w:fldChar w:fldCharType="end"/>
          </w:r>
        </w:sdtContent>
      </w:sdt>
    </w:p>
    <w:p w14:paraId="794A02B3" w14:textId="1098D555" w:rsidR="00276079" w:rsidRPr="00276079" w:rsidRDefault="00276079" w:rsidP="008932DC">
      <w:pPr>
        <w:rPr>
          <w:bdr w:val="none" w:sz="0" w:space="0" w:color="auto" w:frame="1"/>
          <w:lang w:val="ro-RO"/>
        </w:rPr>
      </w:pPr>
      <w:r>
        <w:rPr>
          <w:bdr w:val="none" w:sz="0" w:space="0" w:color="auto" w:frame="1"/>
        </w:rPr>
        <w:t xml:space="preserve">Prevalența mare a fumatului în rândul tinerilor este îngrijorătoare. Expansiunea produselor noi care conțin tutun, creșterea utilizării dispozitivelor de vaping și tutun încălzit este de asemenea îngrijorătoare. Vîrsta de începere a fumatului este de obicei înainte de 25 de ani, cu risc maxim de addicție. Dacă o persoană nu devine fumător regulat până la vârsta de 25 de ani, cel mai probabil nu va deveni fumător regulat, declara profsor Emmanuela Gakidou, </w:t>
      </w:r>
      <w:r w:rsidRPr="00276079">
        <w:rPr>
          <w:bdr w:val="none" w:sz="0" w:space="0" w:color="auto" w:frame="1"/>
        </w:rPr>
        <w:t>Institute for Health Metrics and Evaluation (IHME), University of Seattle, Washington.</w:t>
      </w:r>
      <w:r>
        <w:rPr>
          <w:bdr w:val="none" w:sz="0" w:space="0" w:color="auto" w:frame="1"/>
        </w:rPr>
        <w:t xml:space="preserve"> </w:t>
      </w:r>
      <w:sdt>
        <w:sdtPr>
          <w:rPr>
            <w:bdr w:val="none" w:sz="0" w:space="0" w:color="auto" w:frame="1"/>
          </w:rPr>
          <w:id w:val="-1751271289"/>
          <w:citation/>
        </w:sdtPr>
        <w:sdtContent>
          <w:r w:rsidR="00F81A3F">
            <w:rPr>
              <w:bdr w:val="none" w:sz="0" w:space="0" w:color="auto" w:frame="1"/>
            </w:rPr>
            <w:fldChar w:fldCharType="begin"/>
          </w:r>
          <w:r w:rsidR="00F81A3F">
            <w:rPr>
              <w:bdr w:val="none" w:sz="0" w:space="0" w:color="auto" w:frame="1"/>
              <w:lang w:val="ro-RO"/>
            </w:rPr>
            <w:instrText xml:space="preserve"> CITATION The21 \l 1048 </w:instrText>
          </w:r>
          <w:r w:rsidR="00F81A3F">
            <w:rPr>
              <w:bdr w:val="none" w:sz="0" w:space="0" w:color="auto" w:frame="1"/>
            </w:rPr>
            <w:fldChar w:fldCharType="separate"/>
          </w:r>
          <w:r w:rsidR="00CE4424" w:rsidRPr="00CE4424">
            <w:rPr>
              <w:noProof/>
              <w:bdr w:val="none" w:sz="0" w:space="0" w:color="auto" w:frame="1"/>
              <w:lang w:val="ro-RO"/>
            </w:rPr>
            <w:t>(The Institute for Health Metrics and Evaluation (IHME) , 2021)</w:t>
          </w:r>
          <w:r w:rsidR="00F81A3F">
            <w:rPr>
              <w:bdr w:val="none" w:sz="0" w:space="0" w:color="auto" w:frame="1"/>
            </w:rPr>
            <w:fldChar w:fldCharType="end"/>
          </w:r>
        </w:sdtContent>
      </w:sdt>
    </w:p>
    <w:p w14:paraId="7B0121C2" w14:textId="5A362A00" w:rsidR="00BC10D9" w:rsidRPr="00DC3568" w:rsidRDefault="00F83408" w:rsidP="008932DC">
      <w:pPr>
        <w:rPr>
          <w:bdr w:val="none" w:sz="0" w:space="0" w:color="auto" w:frame="1"/>
        </w:rPr>
      </w:pPr>
      <w:r w:rsidRPr="00DC3568">
        <w:rPr>
          <w:bdr w:val="none" w:sz="0" w:space="0" w:color="auto" w:frame="1"/>
        </w:rPr>
        <w:t xml:space="preserve">Limitarea consumului de tutun este, fără îndoială, una dintre cele mai eficiente modalități de a salva vieți și de a îmbunătăți starea generală de bine. </w:t>
      </w:r>
    </w:p>
    <w:p w14:paraId="7578F96C" w14:textId="6D79CDDE" w:rsidR="008F02FE" w:rsidRDefault="008F02FE">
      <w:pPr>
        <w:spacing w:before="0" w:after="0"/>
        <w:rPr>
          <w:bdr w:val="none" w:sz="0" w:space="0" w:color="auto" w:frame="1"/>
        </w:rPr>
      </w:pPr>
      <w:r>
        <w:rPr>
          <w:bdr w:val="none" w:sz="0" w:space="0" w:color="auto" w:frame="1"/>
        </w:rPr>
        <w:br w:type="page"/>
      </w:r>
    </w:p>
    <w:p w14:paraId="3D059E71" w14:textId="281AC151" w:rsidR="00E6166A" w:rsidRDefault="00E6166A" w:rsidP="008A6A9F">
      <w:pPr>
        <w:pStyle w:val="Heading2"/>
        <w:numPr>
          <w:ilvl w:val="0"/>
          <w:numId w:val="6"/>
        </w:numPr>
        <w:spacing w:before="120" w:after="120"/>
        <w:rPr>
          <w:bdr w:val="none" w:sz="0" w:space="0" w:color="auto" w:frame="1"/>
        </w:rPr>
      </w:pPr>
      <w:bookmarkStart w:id="1" w:name="_Toc132812348"/>
      <w:r w:rsidRPr="00BC10D9">
        <w:rPr>
          <w:bdr w:val="none" w:sz="0" w:space="0" w:color="auto" w:frame="1"/>
        </w:rPr>
        <w:lastRenderedPageBreak/>
        <w:t>Consumul de tutun - problemă de sănătate publică</w:t>
      </w:r>
      <w:bookmarkEnd w:id="1"/>
    </w:p>
    <w:p w14:paraId="1B9C38C8" w14:textId="2EB1444E" w:rsidR="00342A7B" w:rsidRDefault="00342A7B" w:rsidP="008A6A9F">
      <w:pPr>
        <w:pStyle w:val="Heading3"/>
        <w:spacing w:before="120" w:after="120"/>
      </w:pPr>
      <w:bookmarkStart w:id="2" w:name="_Toc132812349"/>
      <w:r>
        <w:t>Prevalența fumatului în România, comparativ cu UE</w:t>
      </w:r>
      <w:bookmarkEnd w:id="2"/>
    </w:p>
    <w:p w14:paraId="533B216E" w14:textId="240007BB" w:rsidR="008A6A9F" w:rsidRDefault="00A03226" w:rsidP="008932DC">
      <w:pPr>
        <w:autoSpaceDE w:val="0"/>
        <w:autoSpaceDN w:val="0"/>
        <w:adjustRightInd w:val="0"/>
      </w:pPr>
      <w:r>
        <w:t xml:space="preserve">Conform datelor prezentate în raportul </w:t>
      </w:r>
      <w:r w:rsidRPr="00DC3568">
        <w:rPr>
          <w:i/>
          <w:iCs/>
        </w:rPr>
        <w:t>Health at a Glance: Europe 2022</w:t>
      </w:r>
      <w:r>
        <w:t>, î</w:t>
      </w:r>
      <w:r w:rsidRPr="00BE7B3D">
        <w:t>n țările UE</w:t>
      </w:r>
      <w:r>
        <w:t>, î</w:t>
      </w:r>
      <w:r w:rsidRPr="00BE7B3D">
        <w:t>n ciuda unor progrese în</w:t>
      </w:r>
      <w:r>
        <w:t>registrate</w:t>
      </w:r>
      <w:r w:rsidRPr="00BE7B3D">
        <w:t xml:space="preserve"> </w:t>
      </w:r>
      <w:r>
        <w:t xml:space="preserve">in </w:t>
      </w:r>
      <w:r w:rsidRPr="00BE7B3D">
        <w:t xml:space="preserve">ultimul deceniu în reducerea ratelor de fumat, aproape unul din </w:t>
      </w:r>
      <w:r>
        <w:t>cinci adulți (19%) a fumat zilnic în anul 2020</w:t>
      </w:r>
      <w:r w:rsidRPr="00BE7B3D">
        <w:t>.</w:t>
      </w:r>
      <w:sdt>
        <w:sdtPr>
          <w:id w:val="1111861034"/>
          <w:citation/>
        </w:sdtPr>
        <w:sdtContent>
          <w:r w:rsidR="00BD4575">
            <w:fldChar w:fldCharType="begin"/>
          </w:r>
          <w:r w:rsidR="00BD4575">
            <w:rPr>
              <w:lang w:val="ro-RO"/>
            </w:rPr>
            <w:instrText xml:space="preserve"> CITATION OECis \l 1048 </w:instrText>
          </w:r>
          <w:r w:rsidR="00BD4575">
            <w:fldChar w:fldCharType="separate"/>
          </w:r>
          <w:r w:rsidR="00CE4424">
            <w:rPr>
              <w:noProof/>
              <w:lang w:val="ro-RO"/>
            </w:rPr>
            <w:t xml:space="preserve"> (OECD/European Union, Paris)</w:t>
          </w:r>
          <w:r w:rsidR="00BD4575">
            <w:fldChar w:fldCharType="end"/>
          </w:r>
        </w:sdtContent>
      </w:sdt>
      <w:r>
        <w:t xml:space="preserve"> </w:t>
      </w:r>
    </w:p>
    <w:p w14:paraId="1E7E4B76" w14:textId="4FE112D1" w:rsidR="000A3C42" w:rsidRDefault="008F02FE" w:rsidP="008932DC">
      <w:pPr>
        <w:autoSpaceDE w:val="0"/>
        <w:autoSpaceDN w:val="0"/>
        <w:adjustRightInd w:val="0"/>
        <w:rPr>
          <w:color w:val="000000"/>
        </w:rPr>
      </w:pPr>
      <w:r>
        <w:rPr>
          <w:noProof/>
        </w:rPr>
        <mc:AlternateContent>
          <mc:Choice Requires="wpg">
            <w:drawing>
              <wp:anchor distT="45720" distB="45720" distL="182880" distR="182880" simplePos="0" relativeHeight="251661312" behindDoc="0" locked="0" layoutInCell="1" allowOverlap="1" wp14:anchorId="25689A51" wp14:editId="48497284">
                <wp:simplePos x="0" y="0"/>
                <wp:positionH relativeFrom="margin">
                  <wp:align>left</wp:align>
                </wp:positionH>
                <wp:positionV relativeFrom="margin">
                  <wp:posOffset>1155700</wp:posOffset>
                </wp:positionV>
                <wp:extent cx="3597910" cy="1054100"/>
                <wp:effectExtent l="0" t="0" r="2540" b="12700"/>
                <wp:wrapSquare wrapText="bothSides"/>
                <wp:docPr id="39" name="Group 39"/>
                <wp:cNvGraphicFramePr/>
                <a:graphic xmlns:a="http://schemas.openxmlformats.org/drawingml/2006/main">
                  <a:graphicData uri="http://schemas.microsoft.com/office/word/2010/wordprocessingGroup">
                    <wpg:wgp>
                      <wpg:cNvGrpSpPr/>
                      <wpg:grpSpPr>
                        <a:xfrm>
                          <a:off x="0" y="0"/>
                          <a:ext cx="3597910" cy="1054100"/>
                          <a:chOff x="-6352" y="-592009"/>
                          <a:chExt cx="3599209" cy="1290896"/>
                        </a:xfrm>
                      </wpg:grpSpPr>
                      <wps:wsp>
                        <wps:cNvPr id="40" name="Rectangle 40"/>
                        <wps:cNvSpPr/>
                        <wps:spPr>
                          <a:xfrm>
                            <a:off x="-6352" y="-592009"/>
                            <a:ext cx="3567448" cy="270606"/>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D880C6" w14:textId="77777777" w:rsidR="00570D51" w:rsidRPr="00404D75" w:rsidRDefault="00570D51">
                              <w:pPr>
                                <w:jc w:val="center"/>
                                <w:rPr>
                                  <w:rFonts w:eastAsiaTheme="majorEastAsia"/>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41"/>
                        <wps:cNvSpPr txBox="1"/>
                        <wps:spPr>
                          <a:xfrm>
                            <a:off x="25409" y="-346108"/>
                            <a:ext cx="3567448" cy="1044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7DC6F" w14:textId="7D218CE5" w:rsidR="00570D51" w:rsidRPr="00AF3C18" w:rsidRDefault="00570D51">
                              <w:pPr>
                                <w:rPr>
                                  <w:caps/>
                                  <w:color w:val="385623" w:themeColor="accent6" w:themeShade="80"/>
                                </w:rPr>
                              </w:pPr>
                              <w:r w:rsidRPr="00AF3C18">
                                <w:rPr>
                                  <w:caps/>
                                  <w:color w:val="385623" w:themeColor="accent6" w:themeShade="80"/>
                                </w:rPr>
                                <w:t>Prevalența fumatului în rândul adulților din România este similară prvalenței medii din Uniunea Europeană: 18,9%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689A51" id="Group 39" o:spid="_x0000_s1029" style="position:absolute;left:0;text-align:left;margin-left:0;margin-top:91pt;width:283.3pt;height:83pt;z-index:251661312;mso-wrap-distance-left:14.4pt;mso-wrap-distance-top:3.6pt;mso-wrap-distance-right:14.4pt;mso-wrap-distance-bottom:3.6pt;mso-position-horizontal:left;mso-position-horizontal-relative:margin;mso-position-vertical-relative:margin;mso-width-relative:margin;mso-height-relative:margin" coordorigin="-63,-5920" coordsize="35992,1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">
                <v:rect id="Rectangle 40" o:spid="_x0000_s1030" style="position:absolute;left:-63;top:-5920;width:35673;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iuicEA&#10;AADbAAAADwAAAGRycy9kb3ducmV2LnhtbERPTWvCQBC9F/wPyxR6azYtRSS6SgmKLejBRHsesmMS&#10;kp0N2W0S/717EDw+3vdqM5lWDNS72rKCjygGQVxYXXOp4Jzv3hcgnEfW2FomBTdysFnPXlaYaDvy&#10;iYbMlyKEsEtQQeV9l0jpiooMush2xIG72t6gD7Avpe5xDOGmlZ9xPJcGaw4NFXaUVlQ02b9R8Hvc&#10;/9VHcxnL/JpOh6zZFsN+q9Tb6/S9BOFp8k/xw/2jFXyF9eFL+AF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oronBAAAA2wAAAA8AAAAAAAAAAAAAAAAAmAIAAGRycy9kb3du&#10;cmV2LnhtbFBLBQYAAAAABAAEAPUAAACGAwAAAAA=&#10;" fillcolor="#375623 [1609]" stroked="f" strokeweight="1pt">
                  <v:textbox>
                    <w:txbxContent>
                      <w:p w14:paraId="11D880C6" w14:textId="77777777" w:rsidR="00570D51" w:rsidRPr="00404D75" w:rsidRDefault="00570D51">
                        <w:pPr>
                          <w:jc w:val="center"/>
                          <w:rPr>
                            <w:rFonts w:eastAsiaTheme="majorEastAsia"/>
                            <w:color w:val="FFFFFF" w:themeColor="background1"/>
                          </w:rPr>
                        </w:pPr>
                      </w:p>
                    </w:txbxContent>
                  </v:textbox>
                </v:rect>
                <v:shape id="Text Box 41" o:spid="_x0000_s1031" type="#_x0000_t202" style="position:absolute;left:254;top:-3461;width:35674;height:10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0MMA&#10;AADbAAAADwAAAGRycy9kb3ducmV2LnhtbESP3YrCMBSE7xd8h3CEvdNU1z+qUUQQBGXZraK3h+bY&#10;FpuT2kStb78RhL0cZuYbZrZoTCnuVLvCsoJeNwJBnFpdcKbgsF93JiCcR9ZYWiYFT3KwmLc+Zhhr&#10;++Bfuic+EwHCLkYFufdVLKVLczLourYiDt7Z1gZ9kHUmdY2PADel7EfRSBosOCzkWNEqp/SS3IyC&#10;n+14XxZHv+IvTL5PO3c9N0NU6rPdLKcgPDX+P/xub7SCQQ9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S0MMAAADbAAAADwAAAAAAAAAAAAAAAACYAgAAZHJzL2Rv&#10;d25yZXYueG1sUEsFBgAAAAAEAAQA9QAAAIgDAAAAAA==&#10;" filled="f" stroked="f" strokeweight=".5pt">
                  <v:textbox inset=",7.2pt,,0">
                    <w:txbxContent>
                      <w:p w14:paraId="1B87DC6F" w14:textId="7D218CE5" w:rsidR="00570D51" w:rsidRPr="00AF3C18" w:rsidRDefault="00570D51">
                        <w:pPr>
                          <w:rPr>
                            <w:caps/>
                            <w:color w:val="385623" w:themeColor="accent6" w:themeShade="80"/>
                          </w:rPr>
                        </w:pPr>
                        <w:r w:rsidRPr="00AF3C18">
                          <w:rPr>
                            <w:caps/>
                            <w:color w:val="385623" w:themeColor="accent6" w:themeShade="80"/>
                          </w:rPr>
                          <w:t>Prevalența fumatului în rândul adulților din România este similară prvalenței medii din Uniunea Europeană: 18,9%</w:t>
                        </w:r>
                      </w:p>
                    </w:txbxContent>
                  </v:textbox>
                </v:shape>
                <w10:wrap type="square" anchorx="margin" anchory="margin"/>
              </v:group>
            </w:pict>
          </mc:Fallback>
        </mc:AlternateContent>
      </w:r>
      <w:r w:rsidR="00A03226">
        <w:t>În România fumatul în rândul adulților ar</w:t>
      </w:r>
      <w:r w:rsidR="008A6A9F">
        <w:t>e o</w:t>
      </w:r>
      <w:r w:rsidR="00A03226">
        <w:t xml:space="preserve"> prevalenț</w:t>
      </w:r>
      <w:r w:rsidR="008A6A9F">
        <w:t>ă similar</w:t>
      </w:r>
      <w:r w:rsidR="00404D75">
        <w:t>ă</w:t>
      </w:r>
      <w:r w:rsidR="008A6A9F">
        <w:t xml:space="preserve">, apropiată </w:t>
      </w:r>
      <w:r w:rsidR="00A03226">
        <w:t>medi</w:t>
      </w:r>
      <w:r w:rsidR="008A6A9F">
        <w:t>ei</w:t>
      </w:r>
      <w:r w:rsidR="00A03226">
        <w:t xml:space="preserve"> observat</w:t>
      </w:r>
      <w:r w:rsidR="008A6A9F">
        <w:t>e</w:t>
      </w:r>
      <w:r w:rsidR="00A03226">
        <w:t xml:space="preserve"> în Uniunea Europeană. </w:t>
      </w:r>
      <w:r w:rsidR="008A6A9F" w:rsidRPr="00B62E0B">
        <w:rPr>
          <w:color w:val="000000"/>
        </w:rPr>
        <w:t xml:space="preserve">Rata fumatului de țigarete în rândul adulților din România </w:t>
      </w:r>
      <w:r w:rsidR="00DA5E96">
        <w:rPr>
          <w:color w:val="000000"/>
        </w:rPr>
        <w:t>este de</w:t>
      </w:r>
      <w:r w:rsidR="008A6A9F" w:rsidRPr="00B62E0B">
        <w:rPr>
          <w:color w:val="000000"/>
        </w:rPr>
        <w:t xml:space="preserve"> 18,</w:t>
      </w:r>
      <w:r w:rsidR="00DA5E96">
        <w:rPr>
          <w:color w:val="000000"/>
        </w:rPr>
        <w:t>9</w:t>
      </w:r>
      <w:r w:rsidR="008A6A9F" w:rsidRPr="00B62E0B">
        <w:rPr>
          <w:color w:val="000000"/>
        </w:rPr>
        <w:t>%</w:t>
      </w:r>
      <w:r w:rsidR="00DA5E96">
        <w:rPr>
          <w:color w:val="000000"/>
        </w:rPr>
        <w:t>, datele obținute din studiul European EHIS</w:t>
      </w:r>
      <w:r w:rsidR="008A6A9F" w:rsidRPr="00B62E0B">
        <w:rPr>
          <w:color w:val="000000"/>
        </w:rPr>
        <w:t>.</w:t>
      </w:r>
      <w:sdt>
        <w:sdtPr>
          <w:rPr>
            <w:color w:val="000000"/>
          </w:rPr>
          <w:id w:val="748155549"/>
          <w:citation/>
        </w:sdtPr>
        <w:sdtContent>
          <w:r w:rsidR="00BD4575">
            <w:rPr>
              <w:color w:val="000000"/>
            </w:rPr>
            <w:fldChar w:fldCharType="begin"/>
          </w:r>
          <w:r w:rsidR="00BD4575">
            <w:rPr>
              <w:color w:val="000000"/>
              <w:lang w:val="ro-RO"/>
            </w:rPr>
            <w:instrText xml:space="preserve"> CITATION OECis \l 1048 </w:instrText>
          </w:r>
          <w:r w:rsidR="00BD4575">
            <w:rPr>
              <w:color w:val="000000"/>
            </w:rPr>
            <w:fldChar w:fldCharType="separate"/>
          </w:r>
          <w:r w:rsidR="00CE4424">
            <w:rPr>
              <w:noProof/>
              <w:color w:val="000000"/>
              <w:lang w:val="ro-RO"/>
            </w:rPr>
            <w:t xml:space="preserve"> </w:t>
          </w:r>
          <w:r w:rsidR="00CE4424" w:rsidRPr="00CE4424">
            <w:rPr>
              <w:noProof/>
              <w:color w:val="000000"/>
              <w:lang w:val="ro-RO"/>
            </w:rPr>
            <w:t>(OECD/European Union, Paris)</w:t>
          </w:r>
          <w:r w:rsidR="00BD4575">
            <w:rPr>
              <w:color w:val="000000"/>
            </w:rPr>
            <w:fldChar w:fldCharType="end"/>
          </w:r>
        </w:sdtContent>
      </w:sdt>
      <w:r w:rsidR="008A6A9F" w:rsidRPr="00B62E0B">
        <w:rPr>
          <w:color w:val="000000"/>
        </w:rPr>
        <w:t xml:space="preserve"> </w:t>
      </w:r>
      <w:sdt>
        <w:sdtPr>
          <w:rPr>
            <w:color w:val="000000"/>
          </w:rPr>
          <w:id w:val="-1013530210"/>
          <w:citation/>
        </w:sdtPr>
        <w:sdtContent>
          <w:r w:rsidR="0077798A">
            <w:rPr>
              <w:color w:val="000000"/>
            </w:rPr>
            <w:fldChar w:fldCharType="begin"/>
          </w:r>
          <w:r w:rsidR="0077798A">
            <w:rPr>
              <w:color w:val="000000"/>
              <w:lang w:val="ro-RO"/>
            </w:rPr>
            <w:instrText xml:space="preserve"> CITATION 202 \l 1048 </w:instrText>
          </w:r>
          <w:r w:rsidR="0077798A">
            <w:rPr>
              <w:color w:val="000000"/>
            </w:rPr>
            <w:fldChar w:fldCharType="separate"/>
          </w:r>
          <w:r w:rsidR="00CE4424" w:rsidRPr="00CE4424">
            <w:rPr>
              <w:noProof/>
              <w:color w:val="000000"/>
              <w:lang w:val="ro-RO"/>
            </w:rPr>
            <w:t>(OECD , 2023)</w:t>
          </w:r>
          <w:r w:rsidR="0077798A">
            <w:rPr>
              <w:color w:val="000000"/>
            </w:rPr>
            <w:fldChar w:fldCharType="end"/>
          </w:r>
        </w:sdtContent>
      </w:sdt>
    </w:p>
    <w:p w14:paraId="6E21A0D1" w14:textId="37D516E4" w:rsidR="00A03226" w:rsidRDefault="00404D75" w:rsidP="008932DC">
      <w:pPr>
        <w:autoSpaceDE w:val="0"/>
        <w:autoSpaceDN w:val="0"/>
        <w:adjustRightInd w:val="0"/>
      </w:pPr>
      <w:r>
        <w:t xml:space="preserve">Conform </w:t>
      </w:r>
      <w:r w:rsidR="00A03226">
        <w:t xml:space="preserve">datelor prezentate în raport </w:t>
      </w:r>
      <w:r w:rsidR="00A03226" w:rsidRPr="00BE7B3D">
        <w:t xml:space="preserve">cea mai mică </w:t>
      </w:r>
      <w:r w:rsidR="00A03226">
        <w:t xml:space="preserve">proporție a </w:t>
      </w:r>
      <w:r w:rsidR="00A03226" w:rsidRPr="00BE7B3D">
        <w:t>adulți</w:t>
      </w:r>
      <w:r w:rsidR="00A03226">
        <w:t>lor</w:t>
      </w:r>
      <w:r w:rsidR="00A03226" w:rsidRPr="00BE7B3D">
        <w:t xml:space="preserve"> care</w:t>
      </w:r>
      <w:r w:rsidR="00A03226">
        <w:t xml:space="preserve"> au fumat</w:t>
      </w:r>
      <w:r w:rsidR="00A03226" w:rsidRPr="00BE7B3D">
        <w:t xml:space="preserve"> zilnic </w:t>
      </w:r>
      <w:r w:rsidR="00A03226">
        <w:t xml:space="preserve">se înregistra </w:t>
      </w:r>
      <w:r w:rsidR="00A03226" w:rsidRPr="00BE7B3D">
        <w:t>în țările nordi</w:t>
      </w:r>
      <w:r w:rsidR="00A03226">
        <w:t xml:space="preserve">ce, Suedia, Finlanda, Islanda și Norvegia (≤ 12%), în timp ce în </w:t>
      </w:r>
      <w:r w:rsidR="00A03226" w:rsidRPr="00BE7B3D">
        <w:t xml:space="preserve">Grecia, Ungaria, Franța și Bulgaria </w:t>
      </w:r>
      <w:r w:rsidR="00A03226">
        <w:t xml:space="preserve">aceasta era </w:t>
      </w:r>
      <w:r w:rsidR="00A03226" w:rsidRPr="00BE7B3D">
        <w:t>de cel puțin două ori mai mare (</w:t>
      </w:r>
      <w:r w:rsidR="00A03226">
        <w:t>≥ 25%) (fig.1)</w:t>
      </w:r>
      <w:r w:rsidR="0077798A">
        <w:t xml:space="preserve"> </w:t>
      </w:r>
      <w:sdt>
        <w:sdtPr>
          <w:id w:val="1920058175"/>
          <w:citation/>
        </w:sdtPr>
        <w:sdtContent>
          <w:r w:rsidR="00BD4575">
            <w:fldChar w:fldCharType="begin"/>
          </w:r>
          <w:r w:rsidR="00BD4575">
            <w:rPr>
              <w:lang w:val="ro-RO"/>
            </w:rPr>
            <w:instrText xml:space="preserve"> CITATION OECis \l 1048 </w:instrText>
          </w:r>
          <w:r w:rsidR="00BD4575">
            <w:fldChar w:fldCharType="separate"/>
          </w:r>
          <w:r w:rsidR="00CE4424">
            <w:rPr>
              <w:noProof/>
              <w:lang w:val="ro-RO"/>
            </w:rPr>
            <w:t>(OECD/European Union, Paris)</w:t>
          </w:r>
          <w:r w:rsidR="00BD4575">
            <w:fldChar w:fldCharType="end"/>
          </w:r>
        </w:sdtContent>
      </w:sdt>
    </w:p>
    <w:p w14:paraId="1B235F8C" w14:textId="18544ECF" w:rsidR="008A6A9F" w:rsidRPr="00BE7B3D" w:rsidRDefault="008A6A9F" w:rsidP="008932DC">
      <w:pPr>
        <w:autoSpaceDE w:val="0"/>
        <w:autoSpaceDN w:val="0"/>
        <w:adjustRightInd w:val="0"/>
      </w:pPr>
      <w:r>
        <w:t xml:space="preserve">Între 2010-2020, o serie de țări precum </w:t>
      </w:r>
      <w:r w:rsidRPr="00BE7B3D">
        <w:t>Estonia, Irlanda, Finlanda, Danemarca și Grecia au înregistrat cele mai</w:t>
      </w:r>
      <w:r>
        <w:t xml:space="preserve"> mari scăderi ale ratelor zilnice de fumat în rândul adulților cu procente de peste 7%</w:t>
      </w:r>
      <w:r w:rsidR="00DA5E96">
        <w:t>.</w:t>
      </w:r>
      <w:r>
        <w:t>, dar în România prevalența fumatului s-a menținut constantă (</w:t>
      </w:r>
      <w:r w:rsidR="00854515">
        <w:t xml:space="preserve">aproximativ </w:t>
      </w:r>
      <w:r>
        <w:t>19%).</w:t>
      </w:r>
      <w:sdt>
        <w:sdtPr>
          <w:id w:val="1532222737"/>
          <w:citation/>
        </w:sdtPr>
        <w:sdtContent>
          <w:r w:rsidR="00BD4575">
            <w:fldChar w:fldCharType="begin"/>
          </w:r>
          <w:r w:rsidR="00BD4575">
            <w:rPr>
              <w:lang w:val="ro-RO"/>
            </w:rPr>
            <w:instrText xml:space="preserve"> CITATION OECis \l 1048 </w:instrText>
          </w:r>
          <w:r w:rsidR="00BD4575">
            <w:fldChar w:fldCharType="separate"/>
          </w:r>
          <w:r w:rsidR="00CE4424">
            <w:rPr>
              <w:noProof/>
              <w:lang w:val="ro-RO"/>
            </w:rPr>
            <w:t xml:space="preserve"> (OECD/European Union, Paris)</w:t>
          </w:r>
          <w:r w:rsidR="00BD4575">
            <w:fldChar w:fldCharType="end"/>
          </w:r>
        </w:sdtContent>
      </w:sdt>
    </w:p>
    <w:p w14:paraId="6893F5D9" w14:textId="70C076A7" w:rsidR="000A3C42" w:rsidRDefault="000A3C42" w:rsidP="008A6A9F">
      <w:pPr>
        <w:autoSpaceDE w:val="0"/>
        <w:autoSpaceDN w:val="0"/>
        <w:adjustRightInd w:val="0"/>
      </w:pPr>
    </w:p>
    <w:p w14:paraId="452B723D" w14:textId="78969E2F" w:rsidR="00A03226" w:rsidRPr="00A03226" w:rsidRDefault="00A03226" w:rsidP="008A6A9F">
      <w:pPr>
        <w:autoSpaceDE w:val="0"/>
        <w:autoSpaceDN w:val="0"/>
        <w:adjustRightInd w:val="0"/>
      </w:pPr>
      <w:r w:rsidRPr="00A03226">
        <w:t>Fig.1 Modificări ale ratelor fumatului zilnic în rândul adulților, 2010 și 2020 (sau anii cei mai apropiați) (p.111)</w:t>
      </w:r>
      <w:sdt>
        <w:sdtPr>
          <w:id w:val="-800454836"/>
          <w:citation/>
        </w:sdtPr>
        <w:sdtContent>
          <w:r w:rsidR="00BD4575">
            <w:fldChar w:fldCharType="begin"/>
          </w:r>
          <w:r w:rsidR="00BD4575">
            <w:rPr>
              <w:lang w:val="ro-RO"/>
            </w:rPr>
            <w:instrText xml:space="preserve"> CITATION OECis \l 1048 </w:instrText>
          </w:r>
          <w:r w:rsidR="00BD4575">
            <w:fldChar w:fldCharType="separate"/>
          </w:r>
          <w:r w:rsidR="00CE4424">
            <w:rPr>
              <w:noProof/>
              <w:lang w:val="ro-RO"/>
            </w:rPr>
            <w:t xml:space="preserve"> (OECD/European Union, Paris)</w:t>
          </w:r>
          <w:r w:rsidR="00BD4575">
            <w:fldChar w:fldCharType="end"/>
          </w:r>
        </w:sdtContent>
      </w:sdt>
    </w:p>
    <w:p w14:paraId="5C66115D" w14:textId="54C4261D" w:rsidR="004A50EF" w:rsidRPr="004A50EF" w:rsidRDefault="004A50EF" w:rsidP="00D23FBE">
      <w:pPr>
        <w:spacing w:before="0" w:after="0"/>
        <w:jc w:val="center"/>
        <w:rPr>
          <w:sz w:val="24"/>
          <w:szCs w:val="24"/>
          <w:lang w:val="ro-RO" w:eastAsia="ro-RO"/>
        </w:rPr>
      </w:pPr>
      <w:r w:rsidRPr="004A50EF">
        <w:rPr>
          <w:noProof/>
        </w:rPr>
        <w:drawing>
          <wp:inline distT="0" distB="0" distL="0" distR="0" wp14:anchorId="591D8437" wp14:editId="31F9EA9A">
            <wp:extent cx="5943600" cy="2203450"/>
            <wp:effectExtent l="0" t="0" r="0" b="0"/>
            <wp:docPr id="43" name="Picture 43" descr="C:\Users\eugen\AppData\Local\Microsoft\Windows\INetCache\Content.MSO\F426F4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ugen\AppData\Local\Microsoft\Windows\INetCache\Content.MSO\F426F44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203450"/>
                    </a:xfrm>
                    <a:prstGeom prst="rect">
                      <a:avLst/>
                    </a:prstGeom>
                    <a:noFill/>
                    <a:ln>
                      <a:noFill/>
                    </a:ln>
                  </pic:spPr>
                </pic:pic>
              </a:graphicData>
            </a:graphic>
          </wp:inline>
        </w:drawing>
      </w:r>
    </w:p>
    <w:p w14:paraId="2ECA76B0" w14:textId="67645FFF" w:rsidR="00A03226" w:rsidRDefault="00A03226" w:rsidP="004A50EF">
      <w:pPr>
        <w:autoSpaceDE w:val="0"/>
        <w:autoSpaceDN w:val="0"/>
        <w:adjustRightInd w:val="0"/>
        <w:spacing w:after="0"/>
        <w:rPr>
          <w:noProof/>
        </w:rPr>
      </w:pPr>
    </w:p>
    <w:p w14:paraId="1FCEAB58" w14:textId="43C47A80" w:rsidR="00DC3568" w:rsidRDefault="00DC3568" w:rsidP="00DC3568">
      <w:pPr>
        <w:pStyle w:val="Heading3"/>
      </w:pPr>
      <w:bookmarkStart w:id="3" w:name="_Toc132812350"/>
      <w:r>
        <w:t>Prevalența fumatului în funcție de gen</w:t>
      </w:r>
      <w:bookmarkEnd w:id="3"/>
    </w:p>
    <w:p w14:paraId="716976AA" w14:textId="5449441D" w:rsidR="00DC3568" w:rsidRPr="00465581" w:rsidRDefault="00DC3568" w:rsidP="00DA5E96">
      <w:pPr>
        <w:autoSpaceDE w:val="0"/>
        <w:autoSpaceDN w:val="0"/>
        <w:adjustRightInd w:val="0"/>
        <w:spacing w:after="0"/>
      </w:pPr>
      <w:r>
        <w:t xml:space="preserve">Conform datelor prezentate în raportul </w:t>
      </w:r>
      <w:r w:rsidRPr="00DC3568">
        <w:rPr>
          <w:i/>
          <w:iCs/>
        </w:rPr>
        <w:t>Health at a Glance: Europe 2022</w:t>
      </w:r>
      <w:r>
        <w:rPr>
          <w:i/>
          <w:iCs/>
        </w:rPr>
        <w:t xml:space="preserve">, </w:t>
      </w:r>
      <w:r w:rsidRPr="00DC3568">
        <w:t>î</w:t>
      </w:r>
      <w:r w:rsidRPr="00BE7B3D">
        <w:t>n țările UE</w:t>
      </w:r>
      <w:r w:rsidR="00562E29">
        <w:t xml:space="preserve"> </w:t>
      </w:r>
      <w:r>
        <w:t>f</w:t>
      </w:r>
      <w:r w:rsidRPr="00BE7B3D">
        <w:t xml:space="preserve">umatul </w:t>
      </w:r>
      <w:r>
        <w:t xml:space="preserve">este încă </w:t>
      </w:r>
      <w:r w:rsidRPr="00BE7B3D">
        <w:t>mai frecvent în rândul bărbaților decâ</w:t>
      </w:r>
      <w:r>
        <w:t xml:space="preserve">t al femeilor, în medie unul din patru bărbați (24%), respectiv </w:t>
      </w:r>
      <w:r w:rsidRPr="00BE7B3D">
        <w:t>una d</w:t>
      </w:r>
      <w:r>
        <w:t>in șapte femei (15%) fumând</w:t>
      </w:r>
      <w:r w:rsidRPr="00BE7B3D">
        <w:t xml:space="preserve"> zilnic</w:t>
      </w:r>
      <w:r>
        <w:t xml:space="preserve"> (fig. 2).</w:t>
      </w:r>
      <w:r w:rsidRPr="00BE7B3D">
        <w:t xml:space="preserve"> </w:t>
      </w:r>
      <w:r w:rsidRPr="00465581">
        <w:t xml:space="preserve">Această diferență de gen </w:t>
      </w:r>
      <w:r>
        <w:t xml:space="preserve">a fost semnificativ mai </w:t>
      </w:r>
      <w:r w:rsidRPr="00465581">
        <w:t>mare în Letonia, Lituania și România, precum și în Moldova, Turcia și Ucraina.</w:t>
      </w:r>
      <w:sdt>
        <w:sdtPr>
          <w:id w:val="105237640"/>
          <w:citation/>
        </w:sdtPr>
        <w:sdtContent>
          <w:r w:rsidR="00BD4575">
            <w:fldChar w:fldCharType="begin"/>
          </w:r>
          <w:r w:rsidR="00BD4575">
            <w:rPr>
              <w:lang w:val="ro-RO"/>
            </w:rPr>
            <w:instrText xml:space="preserve"> CITATION OECis \l 1048 </w:instrText>
          </w:r>
          <w:r w:rsidR="00BD4575">
            <w:fldChar w:fldCharType="separate"/>
          </w:r>
          <w:r w:rsidR="00CE4424">
            <w:rPr>
              <w:noProof/>
              <w:lang w:val="ro-RO"/>
            </w:rPr>
            <w:t xml:space="preserve"> (OECD/European Union, Paris)</w:t>
          </w:r>
          <w:r w:rsidR="00BD4575">
            <w:fldChar w:fldCharType="end"/>
          </w:r>
        </w:sdtContent>
      </w:sdt>
    </w:p>
    <w:p w14:paraId="0DA33A78" w14:textId="22D35FB3" w:rsidR="004F6802" w:rsidRDefault="008F02FE" w:rsidP="004F6802">
      <w:pPr>
        <w:pStyle w:val="Pa8"/>
        <w:spacing w:before="100" w:beforeAutospacing="1" w:after="100" w:afterAutospacing="1" w:line="240" w:lineRule="auto"/>
        <w:contextualSpacing/>
        <w:jc w:val="both"/>
        <w:rPr>
          <w:rFonts w:ascii="Times New Roman" w:hAnsi="Times New Roman"/>
          <w:color w:val="000000"/>
          <w:sz w:val="22"/>
          <w:szCs w:val="22"/>
        </w:rPr>
      </w:pPr>
      <w:r>
        <w:rPr>
          <w:noProof/>
        </w:rPr>
        <w:lastRenderedPageBreak/>
        <mc:AlternateContent>
          <mc:Choice Requires="wpg">
            <w:drawing>
              <wp:anchor distT="45720" distB="45720" distL="182880" distR="182880" simplePos="0" relativeHeight="251673600" behindDoc="0" locked="0" layoutInCell="1" allowOverlap="1" wp14:anchorId="26207EB3" wp14:editId="10C46698">
                <wp:simplePos x="0" y="0"/>
                <wp:positionH relativeFrom="margin">
                  <wp:posOffset>2228850</wp:posOffset>
                </wp:positionH>
                <wp:positionV relativeFrom="margin">
                  <wp:posOffset>-6350</wp:posOffset>
                </wp:positionV>
                <wp:extent cx="3566160" cy="901700"/>
                <wp:effectExtent l="0" t="0" r="0" b="12700"/>
                <wp:wrapSquare wrapText="bothSides"/>
                <wp:docPr id="44" name="Group 44"/>
                <wp:cNvGraphicFramePr/>
                <a:graphic xmlns:a="http://schemas.openxmlformats.org/drawingml/2006/main">
                  <a:graphicData uri="http://schemas.microsoft.com/office/word/2010/wordprocessingGroup">
                    <wpg:wgp>
                      <wpg:cNvGrpSpPr/>
                      <wpg:grpSpPr>
                        <a:xfrm>
                          <a:off x="0" y="0"/>
                          <a:ext cx="3566160" cy="901700"/>
                          <a:chOff x="0" y="0"/>
                          <a:chExt cx="3567448" cy="901512"/>
                        </a:xfrm>
                      </wpg:grpSpPr>
                      <wps:wsp>
                        <wps:cNvPr id="45" name="Rectangle 45"/>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B146FD" w14:textId="77777777" w:rsidR="00570D51" w:rsidRDefault="00570D51">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ext Box 46"/>
                        <wps:cNvSpPr txBox="1"/>
                        <wps:spPr>
                          <a:xfrm>
                            <a:off x="0" y="252686"/>
                            <a:ext cx="3567448" cy="6488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390417" w14:textId="59A08506" w:rsidR="00570D51" w:rsidRPr="0068097E" w:rsidRDefault="00570D51">
                              <w:pPr>
                                <w:rPr>
                                  <w:caps/>
                                  <w:color w:val="4472C4" w:themeColor="accent1"/>
                                </w:rPr>
                              </w:pPr>
                              <w:r w:rsidRPr="0068097E">
                                <w:rPr>
                                  <w:caps/>
                                  <w:color w:val="4472C4" w:themeColor="accent1"/>
                                </w:rPr>
                                <w:t>În România fumează 3 din 10 bărbați și 1 din 13 femei</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207EB3" id="Group 44" o:spid="_x0000_s1032" style="position:absolute;left:0;text-align:left;margin-left:175.5pt;margin-top:-.5pt;width:280.8pt;height:71pt;z-index:251673600;mso-wrap-distance-left:14.4pt;mso-wrap-distance-top:3.6pt;mso-wrap-distance-right:14.4pt;mso-wrap-distance-bottom:3.6pt;mso-position-horizontal-relative:margin;mso-position-vertical-relative:margin;mso-width-relative:margin;mso-height-relative:margin" coordsize="35674,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">
                <v:rect id="Rectangle 45" o:spid="_x0000_s1033"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x2sUA&#10;AADbAAAADwAAAGRycy9kb3ducmV2LnhtbESPQWvCQBSE70L/w/IKvZlNq60SXUUEoYgIpvXg7ZF9&#10;zabNvg3ZbYz+elco9DjMzDfMfNnbWnTU+sqxguckBUFcOF1xqeDzYzOcgvABWWPtmBRcyMNy8TCY&#10;Y6bdmQ/U5aEUEcI+QwUmhCaT0heGLPrENcTR+3KtxRBlW0rd4jnCbS1f0vRNWqw4LhhsaG2o+Ml/&#10;rYLt92SUm27VXUd7Ohp33J02a6/U02O/moEI1If/8F/7XSsYv8L9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CfHaxQAAANsAAAAPAAAAAAAAAAAAAAAAAJgCAABkcnMv&#10;ZG93bnJldi54bWxQSwUGAAAAAAQABAD1AAAAigMAAAAA&#10;" fillcolor="#4472c4 [3204]" stroked="f" strokeweight="1pt">
                  <v:textbox>
                    <w:txbxContent>
                      <w:p w14:paraId="5CB146FD" w14:textId="77777777" w:rsidR="00570D51" w:rsidRDefault="00570D51">
                        <w:pPr>
                          <w:jc w:val="center"/>
                          <w:rPr>
                            <w:rFonts w:asciiTheme="majorHAnsi" w:eastAsiaTheme="majorEastAsia" w:hAnsiTheme="majorHAnsi" w:cstheme="majorBidi"/>
                            <w:color w:val="FFFFFF" w:themeColor="background1"/>
                            <w:sz w:val="24"/>
                            <w:szCs w:val="28"/>
                          </w:rPr>
                        </w:pPr>
                      </w:p>
                    </w:txbxContent>
                  </v:textbox>
                </v:rect>
                <v:shape id="Text Box 46" o:spid="_x0000_s1034" type="#_x0000_t202" style="position:absolute;top:2526;width:35674;height:6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nKpMQA&#10;AADbAAAADwAAAGRycy9kb3ducmV2LnhtbESPQWvCQBSE7wX/w/IEb3VjbVWimyABodBSahS9PrLP&#10;JJh9m2bXmP77bqHQ4zAz3zCbdDCN6KlztWUFs2kEgriwuuZSwfGwe1yBcB5ZY2OZFHyTgzQZPWww&#10;1vbOe+pzX4oAYRejgsr7NpbSFRUZdFPbEgfvYjuDPsiulLrDe4CbRj5F0UIarDksVNhSVlFxzW9G&#10;wefb8tDUJ5/xHPOP87v7ugwvqNRkPGzXIDwN/j/8137VCp4X8Psl/AC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JyqTEAAAA2wAAAA8AAAAAAAAAAAAAAAAAmAIAAGRycy9k&#10;b3ducmV2LnhtbFBLBQYAAAAABAAEAPUAAACJAwAAAAA=&#10;" filled="f" stroked="f" strokeweight=".5pt">
                  <v:textbox inset=",7.2pt,,0">
                    <w:txbxContent>
                      <w:p w14:paraId="6A390417" w14:textId="59A08506" w:rsidR="00570D51" w:rsidRPr="0068097E" w:rsidRDefault="00570D51">
                        <w:pPr>
                          <w:rPr>
                            <w:caps/>
                            <w:color w:val="4472C4" w:themeColor="accent1"/>
                          </w:rPr>
                        </w:pPr>
                        <w:r w:rsidRPr="0068097E">
                          <w:rPr>
                            <w:caps/>
                            <w:color w:val="4472C4" w:themeColor="accent1"/>
                          </w:rPr>
                          <w:t>În România fumează 3 din 10 bărbați și 1 din 13 femei</w:t>
                        </w:r>
                      </w:p>
                    </w:txbxContent>
                  </v:textbox>
                </v:shape>
                <w10:wrap type="square" anchorx="margin" anchory="margin"/>
              </v:group>
            </w:pict>
          </mc:Fallback>
        </mc:AlternateContent>
      </w:r>
      <w:r w:rsidR="00DA5E96" w:rsidRPr="004F6802">
        <w:rPr>
          <w:rFonts w:ascii="Times New Roman" w:hAnsi="Times New Roman"/>
          <w:color w:val="000000"/>
          <w:sz w:val="22"/>
          <w:szCs w:val="22"/>
        </w:rPr>
        <w:t xml:space="preserve">În România prevalența fumatului în rândul bărbaților a fost de </w:t>
      </w:r>
      <w:r w:rsidR="004077D6">
        <w:rPr>
          <w:rFonts w:ascii="Times New Roman" w:hAnsi="Times New Roman"/>
          <w:color w:val="000000"/>
          <w:sz w:val="22"/>
          <w:szCs w:val="22"/>
        </w:rPr>
        <w:t>~</w:t>
      </w:r>
      <w:r w:rsidR="00DA5E96" w:rsidRPr="004F6802">
        <w:rPr>
          <w:rFonts w:ascii="Times New Roman" w:hAnsi="Times New Roman"/>
          <w:color w:val="000000"/>
          <w:sz w:val="22"/>
          <w:szCs w:val="22"/>
        </w:rPr>
        <w:t xml:space="preserve">30.8%, iar în rândul femeilor </w:t>
      </w:r>
      <w:r w:rsidR="004077D6">
        <w:rPr>
          <w:rFonts w:ascii="Times New Roman" w:hAnsi="Times New Roman"/>
          <w:color w:val="000000"/>
          <w:sz w:val="22"/>
          <w:szCs w:val="22"/>
        </w:rPr>
        <w:t>~</w:t>
      </w:r>
      <w:r w:rsidR="00DA5E96" w:rsidRPr="004F6802">
        <w:rPr>
          <w:rFonts w:ascii="Times New Roman" w:hAnsi="Times New Roman"/>
          <w:color w:val="000000"/>
          <w:sz w:val="22"/>
          <w:szCs w:val="22"/>
        </w:rPr>
        <w:t>7,7%</w:t>
      </w:r>
      <w:r w:rsidR="004F6802">
        <w:rPr>
          <w:rFonts w:ascii="Times New Roman" w:hAnsi="Times New Roman"/>
          <w:color w:val="000000"/>
          <w:sz w:val="22"/>
          <w:szCs w:val="22"/>
        </w:rPr>
        <w:t>, astfel prevelența fumatului</w:t>
      </w:r>
      <w:r w:rsidR="004F6802" w:rsidRPr="00B62E0B">
        <w:rPr>
          <w:rFonts w:ascii="Times New Roman" w:hAnsi="Times New Roman"/>
          <w:color w:val="000000"/>
          <w:sz w:val="22"/>
          <w:szCs w:val="22"/>
        </w:rPr>
        <w:t xml:space="preserve"> în rândul bărbaților </w:t>
      </w:r>
      <w:r w:rsidR="004F6802">
        <w:rPr>
          <w:rFonts w:ascii="Times New Roman" w:hAnsi="Times New Roman"/>
          <w:color w:val="000000"/>
          <w:sz w:val="22"/>
          <w:szCs w:val="22"/>
        </w:rPr>
        <w:t xml:space="preserve">adulți </w:t>
      </w:r>
      <w:r w:rsidR="004F6802" w:rsidRPr="00B62E0B">
        <w:rPr>
          <w:rFonts w:ascii="Times New Roman" w:hAnsi="Times New Roman"/>
          <w:color w:val="000000"/>
          <w:sz w:val="22"/>
          <w:szCs w:val="22"/>
        </w:rPr>
        <w:t>(30,</w:t>
      </w:r>
      <w:r w:rsidR="004F6802">
        <w:rPr>
          <w:rFonts w:ascii="Times New Roman" w:hAnsi="Times New Roman"/>
          <w:color w:val="000000"/>
          <w:sz w:val="22"/>
          <w:szCs w:val="22"/>
        </w:rPr>
        <w:t>8</w:t>
      </w:r>
      <w:r w:rsidR="004F6802" w:rsidRPr="00B62E0B">
        <w:rPr>
          <w:rFonts w:ascii="Times New Roman" w:hAnsi="Times New Roman"/>
          <w:color w:val="000000"/>
          <w:sz w:val="22"/>
          <w:szCs w:val="22"/>
        </w:rPr>
        <w:t xml:space="preserve"> %) este de patru ori mai mare decât în rândul femeilor</w:t>
      </w:r>
      <w:r w:rsidR="004F6802">
        <w:rPr>
          <w:rFonts w:ascii="Times New Roman" w:hAnsi="Times New Roman"/>
          <w:color w:val="000000"/>
          <w:sz w:val="22"/>
          <w:szCs w:val="22"/>
        </w:rPr>
        <w:t xml:space="preserve"> adulte</w:t>
      </w:r>
      <w:r w:rsidR="004F6802" w:rsidRPr="00B62E0B">
        <w:rPr>
          <w:rFonts w:ascii="Times New Roman" w:hAnsi="Times New Roman"/>
          <w:color w:val="000000"/>
          <w:sz w:val="22"/>
          <w:szCs w:val="22"/>
        </w:rPr>
        <w:t xml:space="preserve">. </w:t>
      </w:r>
      <w:sdt>
        <w:sdtPr>
          <w:rPr>
            <w:rFonts w:ascii="Times New Roman" w:hAnsi="Times New Roman"/>
            <w:color w:val="000000"/>
            <w:sz w:val="22"/>
            <w:szCs w:val="22"/>
          </w:rPr>
          <w:id w:val="-1088619359"/>
          <w:citation/>
        </w:sdtPr>
        <w:sdtContent>
          <w:r w:rsidR="004F6802">
            <w:rPr>
              <w:rFonts w:ascii="Times New Roman" w:hAnsi="Times New Roman"/>
              <w:color w:val="000000"/>
              <w:sz w:val="22"/>
              <w:szCs w:val="22"/>
            </w:rPr>
            <w:fldChar w:fldCharType="begin"/>
          </w:r>
          <w:r w:rsidR="004F6802">
            <w:rPr>
              <w:rFonts w:ascii="Times New Roman" w:hAnsi="Times New Roman"/>
              <w:color w:val="000000"/>
              <w:sz w:val="22"/>
              <w:szCs w:val="22"/>
              <w:lang w:val="ro-RO"/>
            </w:rPr>
            <w:instrText xml:space="preserve"> CITATION OECis \l 1048 </w:instrText>
          </w:r>
          <w:r w:rsidR="004F6802">
            <w:rPr>
              <w:rFonts w:ascii="Times New Roman" w:hAnsi="Times New Roman"/>
              <w:color w:val="000000"/>
              <w:sz w:val="22"/>
              <w:szCs w:val="22"/>
            </w:rPr>
            <w:fldChar w:fldCharType="separate"/>
          </w:r>
          <w:r w:rsidR="00CE4424" w:rsidRPr="00CE4424">
            <w:rPr>
              <w:rFonts w:ascii="Times New Roman" w:hAnsi="Times New Roman"/>
              <w:noProof/>
              <w:color w:val="000000"/>
              <w:sz w:val="22"/>
              <w:szCs w:val="22"/>
              <w:lang w:val="ro-RO"/>
            </w:rPr>
            <w:t>(OECD/European Union, Paris)</w:t>
          </w:r>
          <w:r w:rsidR="004F6802">
            <w:rPr>
              <w:rFonts w:ascii="Times New Roman" w:hAnsi="Times New Roman"/>
              <w:color w:val="000000"/>
              <w:sz w:val="22"/>
              <w:szCs w:val="22"/>
            </w:rPr>
            <w:fldChar w:fldCharType="end"/>
          </w:r>
        </w:sdtContent>
      </w:sdt>
    </w:p>
    <w:p w14:paraId="7238FCBE" w14:textId="467017DE" w:rsidR="00A03226" w:rsidRDefault="00A03226" w:rsidP="00DA5E96">
      <w:pPr>
        <w:spacing w:before="100" w:beforeAutospacing="1" w:after="100" w:afterAutospacing="1"/>
        <w:contextualSpacing/>
      </w:pPr>
      <w:r>
        <w:t>Fig.</w:t>
      </w:r>
      <w:r w:rsidR="00DC3568">
        <w:t>2</w:t>
      </w:r>
      <w:r w:rsidRPr="004C260A">
        <w:t>. Ratele zilnice de fumat în rândul adulților, în funcție de gen, 2020 (sau cel mai apropiat an)</w:t>
      </w:r>
      <w:sdt>
        <w:sdtPr>
          <w:id w:val="676845505"/>
          <w:citation/>
        </w:sdtPr>
        <w:sdtContent>
          <w:r w:rsidR="00BD4575" w:rsidRPr="00BD4575">
            <w:fldChar w:fldCharType="begin"/>
          </w:r>
          <w:r w:rsidR="00BD4575" w:rsidRPr="00BD4575">
            <w:rPr>
              <w:lang w:val="ro-RO"/>
            </w:rPr>
            <w:instrText xml:space="preserve"> CITATION OECis \l 1048 </w:instrText>
          </w:r>
          <w:r w:rsidR="00BD4575" w:rsidRPr="00BD4575">
            <w:fldChar w:fldCharType="separate"/>
          </w:r>
          <w:r w:rsidR="00CE4424">
            <w:rPr>
              <w:noProof/>
              <w:lang w:val="ro-RO"/>
            </w:rPr>
            <w:t xml:space="preserve"> (OECD/European Union, Paris)</w:t>
          </w:r>
          <w:r w:rsidR="00BD4575" w:rsidRPr="00BD4575">
            <w:fldChar w:fldCharType="end"/>
          </w:r>
        </w:sdtContent>
      </w:sdt>
      <w:r w:rsidR="00BD4575" w:rsidRPr="00BD4575">
        <w:t>(</w:t>
      </w:r>
      <w:r w:rsidRPr="00BD4575">
        <w:t>p.111)</w:t>
      </w:r>
    </w:p>
    <w:p w14:paraId="5F71C2D4" w14:textId="77777777" w:rsidR="00570D51" w:rsidRDefault="00570D51" w:rsidP="00DA5E96">
      <w:pPr>
        <w:spacing w:before="100" w:beforeAutospacing="1" w:after="100" w:afterAutospacing="1"/>
        <w:contextualSpacing/>
      </w:pPr>
    </w:p>
    <w:p w14:paraId="1A71CE54" w14:textId="48B4B9B3" w:rsidR="004F6802" w:rsidRPr="007E0567" w:rsidRDefault="00570D51" w:rsidP="00DA5E96">
      <w:pPr>
        <w:spacing w:before="100" w:beforeAutospacing="1" w:after="100" w:afterAutospacing="1"/>
        <w:contextualSpacing/>
        <w:rPr>
          <w:bCs/>
        </w:rPr>
      </w:pPr>
      <w:r w:rsidRPr="00570D51">
        <w:drawing>
          <wp:inline distT="0" distB="0" distL="0" distR="0" wp14:anchorId="5844DAD2" wp14:editId="7321F240">
            <wp:extent cx="5943600" cy="23602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360295"/>
                    </a:xfrm>
                    <a:prstGeom prst="rect">
                      <a:avLst/>
                    </a:prstGeom>
                  </pic:spPr>
                </pic:pic>
              </a:graphicData>
            </a:graphic>
          </wp:inline>
        </w:drawing>
      </w:r>
    </w:p>
    <w:p w14:paraId="0F44F39F" w14:textId="0EFD91EF" w:rsidR="00A03226" w:rsidRDefault="00A03226" w:rsidP="00A03226">
      <w:pPr>
        <w:autoSpaceDE w:val="0"/>
        <w:autoSpaceDN w:val="0"/>
        <w:adjustRightInd w:val="0"/>
        <w:spacing w:after="0"/>
        <w:ind w:firstLine="720"/>
        <w:jc w:val="center"/>
      </w:pPr>
    </w:p>
    <w:p w14:paraId="7B623555" w14:textId="2EDF4CD5" w:rsidR="000A3C42" w:rsidRDefault="000A3C42" w:rsidP="000A3C42">
      <w:pPr>
        <w:pStyle w:val="Heading3"/>
      </w:pPr>
      <w:bookmarkStart w:id="4" w:name="_Toc132812351"/>
      <w:r>
        <w:t>Prevalența fumatului în funcție de statut social</w:t>
      </w:r>
      <w:bookmarkEnd w:id="4"/>
    </w:p>
    <w:p w14:paraId="30E546B0" w14:textId="116844C4" w:rsidR="008A6A9F" w:rsidRPr="0037380E" w:rsidRDefault="008A6A9F" w:rsidP="008932DC">
      <w:pPr>
        <w:pStyle w:val="Pa8"/>
        <w:spacing w:before="120" w:after="120" w:line="240" w:lineRule="auto"/>
        <w:contextualSpacing/>
        <w:jc w:val="both"/>
        <w:rPr>
          <w:rFonts w:ascii="Times New Roman" w:hAnsi="Times New Roman"/>
          <w:color w:val="000000"/>
          <w:sz w:val="22"/>
          <w:szCs w:val="22"/>
        </w:rPr>
      </w:pPr>
      <w:r w:rsidRPr="00B62E0B">
        <w:rPr>
          <w:rFonts w:ascii="Times New Roman" w:hAnsi="Times New Roman"/>
          <w:color w:val="000000"/>
          <w:sz w:val="22"/>
          <w:szCs w:val="22"/>
        </w:rPr>
        <w:t>Rata fumatului este invers proporțională cu statusul social: prevalența fumatului este mai mare în rândul persoanelor cu venituri mari (22 %) decât în rândul celor cu venituri mici (16%) – o difere</w:t>
      </w:r>
      <w:r>
        <w:rPr>
          <w:rFonts w:ascii="Times New Roman" w:hAnsi="Times New Roman"/>
          <w:color w:val="000000"/>
          <w:sz w:val="22"/>
          <w:szCs w:val="22"/>
        </w:rPr>
        <w:t xml:space="preserve">nță de 6 puncte procentuale. Aceasta </w:t>
      </w:r>
      <w:r w:rsidRPr="00B62E0B">
        <w:rPr>
          <w:rFonts w:ascii="Times New Roman" w:hAnsi="Times New Roman"/>
          <w:color w:val="000000"/>
          <w:sz w:val="22"/>
          <w:szCs w:val="22"/>
        </w:rPr>
        <w:t xml:space="preserve">este, de asemenea, mai mare în rândul persoanelor cu nivel de educație ridicat (18 %) decât în rândul celor cu nivel de educație scăzut (13%) – o diferență de 5 puncte procentuale. </w:t>
      </w:r>
      <w:r>
        <w:rPr>
          <w:rFonts w:ascii="Times New Roman" w:hAnsi="Times New Roman"/>
          <w:color w:val="000000"/>
          <w:sz w:val="22"/>
          <w:szCs w:val="22"/>
        </w:rPr>
        <w:t xml:space="preserve">(fig. </w:t>
      </w:r>
      <w:r w:rsidR="000A3C42">
        <w:rPr>
          <w:rFonts w:ascii="Times New Roman" w:hAnsi="Times New Roman"/>
          <w:color w:val="000000"/>
          <w:sz w:val="22"/>
          <w:szCs w:val="22"/>
        </w:rPr>
        <w:t>3</w:t>
      </w:r>
      <w:r w:rsidRPr="00B62E0B">
        <w:rPr>
          <w:rFonts w:ascii="Times New Roman" w:hAnsi="Times New Roman"/>
          <w:color w:val="000000"/>
          <w:sz w:val="22"/>
          <w:szCs w:val="22"/>
        </w:rPr>
        <w:t xml:space="preserve">) </w:t>
      </w:r>
      <w:sdt>
        <w:sdtPr>
          <w:rPr>
            <w:rFonts w:ascii="Times New Roman" w:hAnsi="Times New Roman"/>
            <w:color w:val="000000"/>
            <w:sz w:val="22"/>
            <w:szCs w:val="22"/>
          </w:rPr>
          <w:id w:val="353542008"/>
          <w:citation/>
        </w:sdtPr>
        <w:sdtContent>
          <w:r w:rsidR="007E0567">
            <w:rPr>
              <w:rFonts w:ascii="Times New Roman" w:hAnsi="Times New Roman"/>
              <w:color w:val="000000"/>
              <w:sz w:val="22"/>
              <w:szCs w:val="22"/>
            </w:rPr>
            <w:fldChar w:fldCharType="begin"/>
          </w:r>
          <w:r w:rsidR="007E0567">
            <w:rPr>
              <w:rFonts w:ascii="Times New Roman" w:hAnsi="Times New Roman"/>
              <w:color w:val="000000"/>
              <w:sz w:val="22"/>
              <w:szCs w:val="22"/>
              <w:lang w:val="ro-RO"/>
            </w:rPr>
            <w:instrText xml:space="preserve"> CITATION 202 \l 1048 </w:instrText>
          </w:r>
          <w:r w:rsidR="007E0567">
            <w:rPr>
              <w:rFonts w:ascii="Times New Roman" w:hAnsi="Times New Roman"/>
              <w:color w:val="000000"/>
              <w:sz w:val="22"/>
              <w:szCs w:val="22"/>
            </w:rPr>
            <w:fldChar w:fldCharType="separate"/>
          </w:r>
          <w:r w:rsidR="00CE4424" w:rsidRPr="00CE4424">
            <w:rPr>
              <w:rFonts w:ascii="Times New Roman" w:hAnsi="Times New Roman"/>
              <w:noProof/>
              <w:color w:val="000000"/>
              <w:sz w:val="22"/>
              <w:szCs w:val="22"/>
              <w:lang w:val="ro-RO"/>
            </w:rPr>
            <w:t>(OECD , 2023)</w:t>
          </w:r>
          <w:r w:rsidR="007E0567">
            <w:rPr>
              <w:rFonts w:ascii="Times New Roman" w:hAnsi="Times New Roman"/>
              <w:color w:val="000000"/>
              <w:sz w:val="22"/>
              <w:szCs w:val="22"/>
            </w:rPr>
            <w:fldChar w:fldCharType="end"/>
          </w:r>
        </w:sdtContent>
      </w:sdt>
      <w:r w:rsidR="003C115B" w:rsidRPr="003C115B">
        <w:rPr>
          <w:rFonts w:ascii="Times New Roman" w:hAnsi="Times New Roman"/>
          <w:sz w:val="22"/>
          <w:szCs w:val="22"/>
        </w:rPr>
        <w:t>(p.8)</w:t>
      </w:r>
    </w:p>
    <w:p w14:paraId="66D5A41B" w14:textId="3D027E2F" w:rsidR="008A6A9F" w:rsidRDefault="008A6A9F" w:rsidP="008932DC">
      <w:pPr>
        <w:pStyle w:val="Default"/>
        <w:spacing w:before="120" w:after="120" w:line="240" w:lineRule="auto"/>
        <w:rPr>
          <w:rFonts w:cs="Bernina Sans"/>
          <w:bCs/>
          <w:color w:val="auto"/>
          <w:sz w:val="22"/>
          <w:szCs w:val="22"/>
        </w:rPr>
      </w:pPr>
      <w:r w:rsidRPr="00211D00">
        <w:rPr>
          <w:rFonts w:cs="Bernina Sans"/>
          <w:bCs/>
          <w:sz w:val="22"/>
          <w:szCs w:val="22"/>
        </w:rPr>
        <w:t xml:space="preserve">Fig. </w:t>
      </w:r>
      <w:r w:rsidR="000A3C42">
        <w:rPr>
          <w:rFonts w:cs="Bernina Sans"/>
          <w:bCs/>
          <w:sz w:val="22"/>
          <w:szCs w:val="22"/>
        </w:rPr>
        <w:t>3</w:t>
      </w:r>
      <w:r w:rsidRPr="00211D00">
        <w:rPr>
          <w:rFonts w:cs="Bernina Sans"/>
          <w:bCs/>
          <w:sz w:val="22"/>
          <w:szCs w:val="22"/>
        </w:rPr>
        <w:t xml:space="preserve"> Prevalența fumatului în România este mai mare în rândul persoanelor cu nivel de educație ridicat </w:t>
      </w:r>
      <w:sdt>
        <w:sdtPr>
          <w:rPr>
            <w:rFonts w:cs="Bernina Sans"/>
            <w:bCs/>
            <w:sz w:val="22"/>
            <w:szCs w:val="22"/>
          </w:rPr>
          <w:id w:val="-796145486"/>
          <w:citation/>
        </w:sdtPr>
        <w:sdtContent>
          <w:r w:rsidR="007E0567">
            <w:rPr>
              <w:rFonts w:cs="Bernina Sans"/>
              <w:bCs/>
              <w:sz w:val="22"/>
              <w:szCs w:val="22"/>
            </w:rPr>
            <w:fldChar w:fldCharType="begin"/>
          </w:r>
          <w:r w:rsidR="007E0567">
            <w:rPr>
              <w:rFonts w:cs="Bernina Sans"/>
              <w:bCs/>
              <w:sz w:val="22"/>
              <w:szCs w:val="22"/>
              <w:lang w:val="ro-RO"/>
            </w:rPr>
            <w:instrText xml:space="preserve"> CITATION 202 \l 1048 </w:instrText>
          </w:r>
          <w:r w:rsidR="007E0567">
            <w:rPr>
              <w:rFonts w:cs="Bernina Sans"/>
              <w:bCs/>
              <w:sz w:val="22"/>
              <w:szCs w:val="22"/>
            </w:rPr>
            <w:fldChar w:fldCharType="separate"/>
          </w:r>
          <w:r w:rsidR="00CE4424" w:rsidRPr="00CE4424">
            <w:rPr>
              <w:rFonts w:cs="Bernina Sans"/>
              <w:noProof/>
              <w:sz w:val="22"/>
              <w:szCs w:val="22"/>
              <w:lang w:val="ro-RO"/>
            </w:rPr>
            <w:t>(OECD , 2023)</w:t>
          </w:r>
          <w:r w:rsidR="007E0567">
            <w:rPr>
              <w:rFonts w:cs="Bernina Sans"/>
              <w:bCs/>
              <w:sz w:val="22"/>
              <w:szCs w:val="22"/>
            </w:rPr>
            <w:fldChar w:fldCharType="end"/>
          </w:r>
        </w:sdtContent>
      </w:sdt>
      <w:r w:rsidR="003C115B" w:rsidRPr="003C115B">
        <w:rPr>
          <w:rFonts w:cs="Bernina Sans"/>
          <w:bCs/>
          <w:color w:val="auto"/>
          <w:sz w:val="22"/>
          <w:szCs w:val="22"/>
        </w:rPr>
        <w:t>(p.8)</w:t>
      </w:r>
    </w:p>
    <w:p w14:paraId="0268614F" w14:textId="28D663FB" w:rsidR="008C41E3" w:rsidRDefault="00570D51" w:rsidP="008C41E3">
      <w:pPr>
        <w:pStyle w:val="Default"/>
        <w:spacing w:before="120" w:after="120" w:line="240" w:lineRule="auto"/>
        <w:jc w:val="center"/>
      </w:pPr>
      <w:r w:rsidRPr="00570D51">
        <w:drawing>
          <wp:inline distT="0" distB="0" distL="0" distR="0" wp14:anchorId="43C653CC" wp14:editId="7EC755D6">
            <wp:extent cx="5943600" cy="18764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876425"/>
                    </a:xfrm>
                    <a:prstGeom prst="rect">
                      <a:avLst/>
                    </a:prstGeom>
                  </pic:spPr>
                </pic:pic>
              </a:graphicData>
            </a:graphic>
          </wp:inline>
        </w:drawing>
      </w:r>
    </w:p>
    <w:p w14:paraId="069800C8" w14:textId="761A8FC6" w:rsidR="00703C10" w:rsidRDefault="008C41E3" w:rsidP="00D23FBE">
      <w:pPr>
        <w:spacing w:before="0" w:after="0"/>
      </w:pPr>
      <w:r>
        <w:br w:type="page"/>
      </w:r>
      <w:bookmarkStart w:id="5" w:name="_Toc132812352"/>
      <w:r w:rsidR="00703C10" w:rsidRPr="00D23FBE">
        <w:rPr>
          <w:rFonts w:eastAsia="SimSun"/>
          <w:b/>
          <w:color w:val="385623" w:themeColor="accent6" w:themeShade="80"/>
          <w:sz w:val="24"/>
          <w:szCs w:val="28"/>
        </w:rPr>
        <w:lastRenderedPageBreak/>
        <w:t>Prevalența fumatului pe grupe de vârstă</w:t>
      </w:r>
      <w:bookmarkEnd w:id="5"/>
    </w:p>
    <w:p w14:paraId="3C213E63" w14:textId="77777777" w:rsidR="00D23FBE" w:rsidRDefault="00D23FBE" w:rsidP="00D23FBE">
      <w:pPr>
        <w:spacing w:before="0" w:after="0"/>
      </w:pPr>
    </w:p>
    <w:p w14:paraId="3022F434" w14:textId="77777777" w:rsidR="00703C10" w:rsidRDefault="00703C10" w:rsidP="00703C10">
      <w:r>
        <w:t>Cea mai mare prevalență a fumatului zilnic în România este la grupa de vârstă 25-34 de ani, iar cea mai scăzută la grupa de vârstă de peste 75 de ani.</w:t>
      </w:r>
    </w:p>
    <w:p w14:paraId="44604419" w14:textId="77777777" w:rsidR="00D23FBE" w:rsidRDefault="00D23FBE" w:rsidP="00703C10"/>
    <w:p w14:paraId="0D00F190" w14:textId="15B3B67A" w:rsidR="00703C10" w:rsidRDefault="00703C10" w:rsidP="00703C10">
      <w:r>
        <w:t xml:space="preserve">Figura 4. Prevelența fumatului zilnic, pe grupe de vârstă, România și Uniunea Europeană, 2019. Sursa datelor: Eurostat, </w:t>
      </w:r>
      <w:hyperlink r:id="rId14" w:history="1">
        <w:r>
          <w:rPr>
            <w:rStyle w:val="Hyperlink"/>
          </w:rPr>
          <w:t>Statistics | Eurostat (europa.eu)</w:t>
        </w:r>
      </w:hyperlink>
      <w:r w:rsidRPr="00703C10">
        <w:t xml:space="preserve"> </w:t>
      </w:r>
      <w:hyperlink r:id="rId15" w:history="1">
        <w:r w:rsidR="000455A8" w:rsidRPr="002850EB">
          <w:rPr>
            <w:rStyle w:val="Hyperlink"/>
          </w:rPr>
          <w:t>https://ec.europa.eu/eurostat/databrowser/view/HLTH_EHIS_SK3E__custom_5743706/default/table?lang=en&amp;page=time:2019</w:t>
        </w:r>
      </w:hyperlink>
    </w:p>
    <w:p w14:paraId="185D6E73" w14:textId="77777777" w:rsidR="000455A8" w:rsidRDefault="000455A8" w:rsidP="00703C10"/>
    <w:p w14:paraId="5362F0DE" w14:textId="77777777" w:rsidR="000455A8" w:rsidRPr="00703C10" w:rsidRDefault="000455A8" w:rsidP="00703C10"/>
    <w:p w14:paraId="472B2AAA" w14:textId="00D658E8" w:rsidR="006F5CEC" w:rsidRDefault="00864699" w:rsidP="00864699">
      <w:pPr>
        <w:autoSpaceDE w:val="0"/>
        <w:autoSpaceDN w:val="0"/>
        <w:adjustRightInd w:val="0"/>
        <w:jc w:val="center"/>
        <w:rPr>
          <w:color w:val="000000"/>
        </w:rPr>
      </w:pPr>
      <w:r>
        <w:rPr>
          <w:noProof/>
        </w:rPr>
        <w:drawing>
          <wp:inline distT="0" distB="0" distL="0" distR="0" wp14:anchorId="3A1D759A" wp14:editId="17356D11">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5408C5" w14:textId="536DDF2B" w:rsidR="008C41E3" w:rsidRDefault="008C41E3">
      <w:pPr>
        <w:spacing w:before="0" w:after="0"/>
        <w:rPr>
          <w:color w:val="000000"/>
        </w:rPr>
      </w:pPr>
      <w:r>
        <w:rPr>
          <w:color w:val="000000"/>
        </w:rPr>
        <w:br w:type="page"/>
      </w:r>
    </w:p>
    <w:p w14:paraId="3C3F6C27" w14:textId="2A2E2DE6" w:rsidR="00A03226" w:rsidRPr="00BE7B3D" w:rsidRDefault="00562E29" w:rsidP="008932DC">
      <w:pPr>
        <w:pStyle w:val="Heading3"/>
        <w:spacing w:before="120" w:after="120"/>
      </w:pPr>
      <w:bookmarkStart w:id="6" w:name="_Toc132812353"/>
      <w:r>
        <w:lastRenderedPageBreak/>
        <w:t xml:space="preserve">Prevelența utilizării </w:t>
      </w:r>
      <w:r w:rsidR="00675F9A">
        <w:t xml:space="preserve">produselor de tutun încălzit și a </w:t>
      </w:r>
      <w:r>
        <w:t>țigaretelor electronice</w:t>
      </w:r>
      <w:bookmarkEnd w:id="6"/>
    </w:p>
    <w:p w14:paraId="485FA6CA" w14:textId="34AEE2A9" w:rsidR="00675F9A" w:rsidRDefault="008A2ABB" w:rsidP="008932DC">
      <w:pPr>
        <w:autoSpaceDE w:val="0"/>
        <w:autoSpaceDN w:val="0"/>
        <w:adjustRightInd w:val="0"/>
      </w:pPr>
      <w:r>
        <w:t>Studiul global privind tutunul la adulți (GATS</w:t>
      </w:r>
      <w:r w:rsidR="00675F9A">
        <w:t xml:space="preserve"> – Global Adult Tobacco Survey)</w:t>
      </w:r>
      <w:r>
        <w:t xml:space="preserve">) </w:t>
      </w:r>
      <w:r w:rsidR="00675F9A">
        <w:t>– unul dintre studiile s</w:t>
      </w:r>
      <w:r>
        <w:t xml:space="preserve">standard </w:t>
      </w:r>
      <w:r w:rsidR="00675F9A">
        <w:t xml:space="preserve">realizate la nivel </w:t>
      </w:r>
      <w:r>
        <w:t>global pentru monitorizarea sistematică a consumului de tutun (pentru fumat, tutun fără fum și produse cu tutun încălzit) în rândul adulților și pentru identificarea unor indicatori cheie privind controlul tutunului</w:t>
      </w:r>
      <w:r w:rsidR="00675F9A">
        <w:t xml:space="preserve"> s-a realizat și în România în 2018 pe un eșantion reprezentativ la nivel national, utilizând metodologia standardizată. Acest studi</w:t>
      </w:r>
      <w:r w:rsidR="00333BA7">
        <w:t>u</w:t>
      </w:r>
      <w:r w:rsidR="00675F9A">
        <w:t xml:space="preserve"> a evidențiat o prevalență a utilizării curente a produselor cu tutun încălzit </w:t>
      </w:r>
      <w:r w:rsidR="00333BA7">
        <w:t xml:space="preserve">în rândul adulților </w:t>
      </w:r>
      <w:r w:rsidR="00675F9A">
        <w:t>de 1,3% (1,6 în rândul bărbaților și 1% în rândul femeilor).</w:t>
      </w:r>
      <w:sdt>
        <w:sdtPr>
          <w:id w:val="-571045463"/>
          <w:citation/>
        </w:sdtPr>
        <w:sdtContent>
          <w:r w:rsidR="00333BA7">
            <w:fldChar w:fldCharType="begin"/>
          </w:r>
          <w:r w:rsidR="00333BA7">
            <w:rPr>
              <w:lang w:val="ro-RO"/>
            </w:rPr>
            <w:instrText xml:space="preserve"> CITATION Ins18 \l 1048 </w:instrText>
          </w:r>
          <w:r w:rsidR="00333BA7">
            <w:fldChar w:fldCharType="separate"/>
          </w:r>
          <w:r w:rsidR="00CE4424">
            <w:rPr>
              <w:noProof/>
              <w:lang w:val="ro-RO"/>
            </w:rPr>
            <w:t xml:space="preserve"> (Institutul Național de Sănătate Publică, Totem, Organizația Mondială a Sănătății, 2018)</w:t>
          </w:r>
          <w:r w:rsidR="00333BA7">
            <w:fldChar w:fldCharType="end"/>
          </w:r>
        </w:sdtContent>
      </w:sdt>
    </w:p>
    <w:p w14:paraId="6B0DDCEE" w14:textId="690B04B8" w:rsidR="00A03226" w:rsidRDefault="00A03226" w:rsidP="008932DC">
      <w:pPr>
        <w:autoSpaceDE w:val="0"/>
        <w:autoSpaceDN w:val="0"/>
        <w:adjustRightInd w:val="0"/>
      </w:pPr>
      <w:r>
        <w:t>Î</w:t>
      </w:r>
      <w:r w:rsidRPr="00465581">
        <w:t>n 2019</w:t>
      </w:r>
      <w:r>
        <w:t>, î</w:t>
      </w:r>
      <w:r w:rsidRPr="00465581">
        <w:t>n țările europen</w:t>
      </w:r>
      <w:r>
        <w:t>e, 3,6% dintre oameni au utilizat</w:t>
      </w:r>
      <w:r w:rsidRPr="00465581">
        <w:t xml:space="preserve"> zilnic sau ocazional</w:t>
      </w:r>
      <w:r>
        <w:t>,</w:t>
      </w:r>
      <w:r w:rsidRPr="00465581">
        <w:t xml:space="preserve"> </w:t>
      </w:r>
      <w:r>
        <w:t xml:space="preserve">țigarete </w:t>
      </w:r>
      <w:r w:rsidRPr="00465581">
        <w:t xml:space="preserve">electronice sau dispozitive electronice similare. Proporția </w:t>
      </w:r>
      <w:r>
        <w:t xml:space="preserve">a fost </w:t>
      </w:r>
      <w:r w:rsidRPr="00465581">
        <w:t xml:space="preserve">mai mare (5,1%) în rândul celor cu vârsta </w:t>
      </w:r>
      <w:r>
        <w:t>cuprins</w:t>
      </w:r>
      <w:r w:rsidR="008A6A9F">
        <w:t>ă</w:t>
      </w:r>
      <w:r>
        <w:t xml:space="preserve"> </w:t>
      </w:r>
      <w:r w:rsidRPr="00465581">
        <w:t xml:space="preserve">între 15-24 </w:t>
      </w:r>
      <w:r>
        <w:t xml:space="preserve">de ani (fig. </w:t>
      </w:r>
      <w:r w:rsidR="00D134A6">
        <w:t>4</w:t>
      </w:r>
      <w:r w:rsidRPr="00465581">
        <w:t>).</w:t>
      </w:r>
      <w:r>
        <w:t xml:space="preserve"> </w:t>
      </w:r>
      <w:sdt>
        <w:sdtPr>
          <w:id w:val="-734772775"/>
          <w:citation/>
        </w:sdtPr>
        <w:sdtContent>
          <w:r w:rsidR="006728CC">
            <w:fldChar w:fldCharType="begin"/>
          </w:r>
          <w:r w:rsidR="006728CC">
            <w:instrText xml:space="preserve"> CITATION OECis \l 1033 </w:instrText>
          </w:r>
          <w:r w:rsidR="006728CC">
            <w:fldChar w:fldCharType="separate"/>
          </w:r>
          <w:r w:rsidR="00CE4424">
            <w:rPr>
              <w:noProof/>
            </w:rPr>
            <w:t>(OECD/European Union, Paris)</w:t>
          </w:r>
          <w:r w:rsidR="006728CC">
            <w:fldChar w:fldCharType="end"/>
          </w:r>
        </w:sdtContent>
      </w:sdt>
    </w:p>
    <w:p w14:paraId="0DE199AA" w14:textId="7B5CE724" w:rsidR="00A03226" w:rsidRPr="00465581" w:rsidRDefault="008A6A9F" w:rsidP="008932DC">
      <w:pPr>
        <w:autoSpaceDE w:val="0"/>
        <w:autoSpaceDN w:val="0"/>
        <w:adjustRightInd w:val="0"/>
      </w:pPr>
      <w:r>
        <w:t>Î</w:t>
      </w:r>
      <w:r w:rsidR="00A03226">
        <w:t>n acelaș</w:t>
      </w:r>
      <w:r>
        <w:t>i</w:t>
      </w:r>
      <w:r w:rsidR="00A03226">
        <w:t xml:space="preserve"> an, utilizarea regulată a țigaretelor electronice a fost</w:t>
      </w:r>
      <w:r w:rsidR="00A03226" w:rsidRPr="00465581">
        <w:t xml:space="preserve"> mai frecventă în rândul bărbaților decât al femeilor în </w:t>
      </w:r>
      <w:r w:rsidR="00A03226">
        <w:t>aproape toate țările UE, în medie 4,5% dintre bărbații cu vârsta mai mare sau egală cu 15 ani</w:t>
      </w:r>
      <w:r w:rsidR="00A03226" w:rsidRPr="00465581">
        <w:t xml:space="preserve"> </w:t>
      </w:r>
      <w:r w:rsidR="00A03226">
        <w:t>au folosit în mod regulat e-țigarete</w:t>
      </w:r>
      <w:r w:rsidR="00A03226" w:rsidRPr="00465581">
        <w:t>, comparativ cu 2,6% dintre femei.</w:t>
      </w:r>
      <w:sdt>
        <w:sdtPr>
          <w:id w:val="252097198"/>
          <w:citation/>
        </w:sdtPr>
        <w:sdtContent>
          <w:r w:rsidR="006728CC">
            <w:fldChar w:fldCharType="begin"/>
          </w:r>
          <w:r w:rsidR="006728CC">
            <w:instrText xml:space="preserve"> CITATION OECis \l 1033 </w:instrText>
          </w:r>
          <w:r w:rsidR="006728CC">
            <w:fldChar w:fldCharType="separate"/>
          </w:r>
          <w:r w:rsidR="00CE4424">
            <w:rPr>
              <w:noProof/>
            </w:rPr>
            <w:t xml:space="preserve"> (OECD/European Union, Paris)</w:t>
          </w:r>
          <w:r w:rsidR="006728CC">
            <w:fldChar w:fldCharType="end"/>
          </w:r>
        </w:sdtContent>
      </w:sdt>
    </w:p>
    <w:p w14:paraId="22D0C455" w14:textId="6AD27775" w:rsidR="00A03226" w:rsidRDefault="00A03226" w:rsidP="008932DC">
      <w:pPr>
        <w:autoSpaceDE w:val="0"/>
        <w:autoSpaceDN w:val="0"/>
        <w:adjustRightInd w:val="0"/>
      </w:pPr>
    </w:p>
    <w:p w14:paraId="3E08C5D9" w14:textId="039829F0" w:rsidR="00A03226" w:rsidRPr="00647F6F" w:rsidRDefault="00A03226" w:rsidP="00647F6F">
      <w:pPr>
        <w:autoSpaceDE w:val="0"/>
        <w:autoSpaceDN w:val="0"/>
        <w:adjustRightInd w:val="0"/>
        <w:spacing w:before="0" w:after="0"/>
      </w:pPr>
      <w:r w:rsidRPr="00211D00">
        <w:t xml:space="preserve">Fig. </w:t>
      </w:r>
      <w:r w:rsidR="005C0050">
        <w:t>4</w:t>
      </w:r>
      <w:r w:rsidRPr="00211D00">
        <w:t xml:space="preserve"> Utilizarea regulată a țigărilor electronice, pe grupe de vârstă</w:t>
      </w:r>
      <w:r w:rsidR="00CE4424">
        <w:t>- adulți tineri și adulți</w:t>
      </w:r>
      <w:r w:rsidRPr="00211D00">
        <w:t>, 2019</w:t>
      </w:r>
      <w:r w:rsidRPr="00647F6F">
        <w:t xml:space="preserve"> (p.111)</w:t>
      </w:r>
    </w:p>
    <w:p w14:paraId="719AEEEB" w14:textId="77777777" w:rsidR="00A03226" w:rsidRPr="00647F6F" w:rsidRDefault="00A03226" w:rsidP="00647F6F">
      <w:pPr>
        <w:autoSpaceDE w:val="0"/>
        <w:autoSpaceDN w:val="0"/>
        <w:adjustRightInd w:val="0"/>
        <w:spacing w:before="0" w:after="0"/>
      </w:pPr>
    </w:p>
    <w:p w14:paraId="5FCCAC73" w14:textId="69149F78" w:rsidR="00A03226" w:rsidRDefault="00344C2A" w:rsidP="00344C2A">
      <w:pPr>
        <w:autoSpaceDE w:val="0"/>
        <w:autoSpaceDN w:val="0"/>
        <w:adjustRightInd w:val="0"/>
        <w:spacing w:before="100" w:beforeAutospacing="1" w:after="100" w:afterAutospacing="1"/>
        <w:contextualSpacing/>
        <w:jc w:val="center"/>
      </w:pPr>
      <w:r w:rsidRPr="00344C2A">
        <w:drawing>
          <wp:inline distT="0" distB="0" distL="0" distR="0" wp14:anchorId="57369E33" wp14:editId="499DFCB3">
            <wp:extent cx="5915025" cy="228764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27027" cy="2292291"/>
                    </a:xfrm>
                    <a:prstGeom prst="rect">
                      <a:avLst/>
                    </a:prstGeom>
                  </pic:spPr>
                </pic:pic>
              </a:graphicData>
            </a:graphic>
          </wp:inline>
        </w:drawing>
      </w:r>
    </w:p>
    <w:p w14:paraId="4A009404" w14:textId="77777777" w:rsidR="00A03226" w:rsidRDefault="00A03226" w:rsidP="00A03226">
      <w:pPr>
        <w:autoSpaceDE w:val="0"/>
        <w:autoSpaceDN w:val="0"/>
        <w:adjustRightInd w:val="0"/>
        <w:spacing w:after="0"/>
        <w:rPr>
          <w:color w:val="FF0000"/>
        </w:rPr>
      </w:pPr>
    </w:p>
    <w:p w14:paraId="133B27EF" w14:textId="77777777" w:rsidR="00A03226" w:rsidRPr="00465581" w:rsidRDefault="00A03226" w:rsidP="008A6A9F">
      <w:pPr>
        <w:autoSpaceDE w:val="0"/>
        <w:autoSpaceDN w:val="0"/>
        <w:adjustRightInd w:val="0"/>
        <w:spacing w:after="0"/>
      </w:pPr>
      <w:r>
        <w:t>În rândul tinerilor</w:t>
      </w:r>
      <w:r w:rsidRPr="00465581">
        <w:t xml:space="preserve">, 6,4% dintre bărbații de 15-24 de ani au </w:t>
      </w:r>
      <w:r>
        <w:t xml:space="preserve">utilizat </w:t>
      </w:r>
      <w:r w:rsidRPr="00465581">
        <w:t>în mod regulat</w:t>
      </w:r>
      <w:r>
        <w:t xml:space="preserve"> e-țigarete</w:t>
      </w:r>
      <w:r w:rsidRPr="00465581">
        <w:t>, comparativ cu 3,7% dintre femeile de aceeași vârstă.</w:t>
      </w:r>
    </w:p>
    <w:p w14:paraId="6EFF2948" w14:textId="0035C5A8" w:rsidR="00A03226" w:rsidRDefault="00A03226" w:rsidP="008932DC">
      <w:pPr>
        <w:autoSpaceDE w:val="0"/>
        <w:autoSpaceDN w:val="0"/>
        <w:adjustRightInd w:val="0"/>
        <w:spacing w:after="0"/>
        <w:rPr>
          <w:color w:val="000000"/>
        </w:rPr>
      </w:pPr>
      <w:r w:rsidRPr="00981E4E">
        <w:rPr>
          <w:color w:val="000000"/>
        </w:rPr>
        <w:t xml:space="preserve">Comisia Europeană solicită acțiuni mai puternice pentru </w:t>
      </w:r>
      <w:r>
        <w:rPr>
          <w:color w:val="000000"/>
        </w:rPr>
        <w:t xml:space="preserve">ca </w:t>
      </w:r>
      <w:r w:rsidRPr="00981E4E">
        <w:rPr>
          <w:color w:val="000000"/>
        </w:rPr>
        <w:t>obiectivul „Generație fără fum” al Planulu</w:t>
      </w:r>
      <w:r>
        <w:rPr>
          <w:color w:val="000000"/>
        </w:rPr>
        <w:t>i European de Combatere a C</w:t>
      </w:r>
      <w:r w:rsidRPr="00981E4E">
        <w:rPr>
          <w:color w:val="000000"/>
        </w:rPr>
        <w:t>ancerului</w:t>
      </w:r>
      <w:r>
        <w:rPr>
          <w:color w:val="000000"/>
        </w:rPr>
        <w:t xml:space="preserve"> să poata fi atins</w:t>
      </w:r>
      <w:r w:rsidRPr="00981E4E">
        <w:rPr>
          <w:color w:val="000000"/>
        </w:rPr>
        <w:t xml:space="preserve">, </w:t>
      </w:r>
      <w:r>
        <w:rPr>
          <w:color w:val="000000"/>
        </w:rPr>
        <w:t xml:space="preserve">mai ales </w:t>
      </w:r>
      <w:r w:rsidRPr="00981E4E">
        <w:rPr>
          <w:color w:val="000000"/>
        </w:rPr>
        <w:t xml:space="preserve">în </w:t>
      </w:r>
      <w:r>
        <w:rPr>
          <w:color w:val="000000"/>
        </w:rPr>
        <w:t>privința etichetării, evaluării ingredientelor, vânzărilor transfrontaliere și a produselor</w:t>
      </w:r>
      <w:r w:rsidRPr="00981E4E">
        <w:rPr>
          <w:color w:val="000000"/>
        </w:rPr>
        <w:t xml:space="preserve"> noi din tutun, </w:t>
      </w:r>
      <w:r>
        <w:rPr>
          <w:color w:val="000000"/>
        </w:rPr>
        <w:t>pre</w:t>
      </w:r>
      <w:r w:rsidRPr="00981E4E">
        <w:rPr>
          <w:color w:val="000000"/>
        </w:rPr>
        <w:t xml:space="preserve">cum </w:t>
      </w:r>
      <w:r>
        <w:rPr>
          <w:color w:val="000000"/>
        </w:rPr>
        <w:t xml:space="preserve">cele </w:t>
      </w:r>
      <w:r w:rsidRPr="00981E4E">
        <w:rPr>
          <w:color w:val="000000"/>
        </w:rPr>
        <w:t>din tutu</w:t>
      </w:r>
      <w:r>
        <w:rPr>
          <w:color w:val="000000"/>
        </w:rPr>
        <w:t xml:space="preserve">n încălzit. </w:t>
      </w:r>
      <w:r w:rsidR="008A6A9F">
        <w:rPr>
          <w:noProof/>
          <w:color w:val="000000"/>
          <w:lang w:val="ro-RO"/>
        </w:rPr>
        <w:t xml:space="preserve"> </w:t>
      </w:r>
      <w:r>
        <w:rPr>
          <w:color w:val="000000"/>
        </w:rPr>
        <w:t>(p.110)</w:t>
      </w:r>
      <w:r w:rsidR="008932DC">
        <w:rPr>
          <w:color w:val="000000"/>
        </w:rPr>
        <w:t xml:space="preserve"> </w:t>
      </w:r>
      <w:sdt>
        <w:sdtPr>
          <w:rPr>
            <w:color w:val="000000"/>
          </w:rPr>
          <w:id w:val="-1426178819"/>
          <w:citation/>
        </w:sdtPr>
        <w:sdtContent>
          <w:r w:rsidR="008932DC">
            <w:rPr>
              <w:color w:val="000000"/>
            </w:rPr>
            <w:fldChar w:fldCharType="begin"/>
          </w:r>
          <w:r w:rsidR="008932DC">
            <w:rPr>
              <w:color w:val="000000"/>
            </w:rPr>
            <w:instrText xml:space="preserve"> CITATION 202 \l 1033 </w:instrText>
          </w:r>
          <w:r w:rsidR="008932DC">
            <w:rPr>
              <w:color w:val="000000"/>
            </w:rPr>
            <w:fldChar w:fldCharType="separate"/>
          </w:r>
          <w:r w:rsidR="00CE4424" w:rsidRPr="00CE4424">
            <w:rPr>
              <w:noProof/>
              <w:color w:val="000000"/>
            </w:rPr>
            <w:t>(OECD , 2023)</w:t>
          </w:r>
          <w:r w:rsidR="008932DC">
            <w:rPr>
              <w:color w:val="000000"/>
            </w:rPr>
            <w:fldChar w:fldCharType="end"/>
          </w:r>
        </w:sdtContent>
      </w:sdt>
    </w:p>
    <w:p w14:paraId="4DF1C356" w14:textId="77777777" w:rsidR="008C41E3" w:rsidRDefault="008C41E3">
      <w:pPr>
        <w:spacing w:before="0" w:after="0"/>
      </w:pPr>
      <w:r>
        <w:rPr>
          <w:b/>
        </w:rPr>
        <w:br w:type="page"/>
      </w:r>
      <w:bookmarkStart w:id="7" w:name="_GoBack"/>
      <w:bookmarkEnd w:id="7"/>
    </w:p>
    <w:p w14:paraId="1FE11DC8" w14:textId="654973F1" w:rsidR="00BC10D9" w:rsidRPr="00BC10D9" w:rsidRDefault="00E6166A" w:rsidP="00BC10D9">
      <w:pPr>
        <w:pStyle w:val="Heading2"/>
        <w:numPr>
          <w:ilvl w:val="0"/>
          <w:numId w:val="6"/>
        </w:numPr>
        <w:rPr>
          <w:bdr w:val="none" w:sz="0" w:space="0" w:color="auto" w:frame="1"/>
        </w:rPr>
      </w:pPr>
      <w:bookmarkStart w:id="8" w:name="_Toc132812354"/>
      <w:r w:rsidRPr="00BC10D9">
        <w:rPr>
          <w:bdr w:val="none" w:sz="0" w:space="0" w:color="auto" w:frame="1"/>
        </w:rPr>
        <w:lastRenderedPageBreak/>
        <w:t>Consumul de tutun – impact asupra stării de sănătate la nivel individual</w:t>
      </w:r>
      <w:bookmarkEnd w:id="8"/>
      <w:r w:rsidR="00BC10D9" w:rsidRPr="00BC10D9">
        <w:rPr>
          <w:bdr w:val="none" w:sz="0" w:space="0" w:color="auto" w:frame="1"/>
        </w:rPr>
        <w:t xml:space="preserve"> </w:t>
      </w:r>
    </w:p>
    <w:p w14:paraId="1A404086" w14:textId="07EA9930" w:rsidR="00342A7B" w:rsidRDefault="00BC10D9" w:rsidP="00F45F82">
      <w:pPr>
        <w:rPr>
          <w:bdr w:val="none" w:sz="0" w:space="0" w:color="auto" w:frame="1"/>
        </w:rPr>
      </w:pPr>
      <w:r w:rsidRPr="0009222B">
        <w:rPr>
          <w:bdr w:val="none" w:sz="0" w:space="0" w:color="auto" w:frame="1"/>
        </w:rPr>
        <w:t xml:space="preserve">Fumatul convențional provoacă expunerea la un amestec letal de peste 7.000 de substanțe chimice toxice, inclusiv cel puțin 70 de agenți cancerigeni care pot deteriora aproape fiecare sistem de organe din corpul uman. </w:t>
      </w:r>
      <w:r w:rsidR="0043321F">
        <w:rPr>
          <w:bdr w:val="none" w:sz="0" w:space="0" w:color="auto" w:frame="1"/>
        </w:rPr>
        <w:t xml:space="preserve">Efectele negative ale componentelor chimice asupra organismului uman sunt multiple: de la deteriorarea funcționalității sale normale prin scăderea capacității de a respire, prin scăderea auzului, prin cecitate și scurtarea respirației, până la deteriorări structurale (cataractă, boală periodontală și edentație) și carcinogeneză pentru diferite tipuri de cancer. </w:t>
      </w:r>
      <w:sdt>
        <w:sdtPr>
          <w:rPr>
            <w:bdr w:val="none" w:sz="0" w:space="0" w:color="auto" w:frame="1"/>
          </w:rPr>
          <w:id w:val="1679154248"/>
          <w:citation/>
        </w:sdtPr>
        <w:sdtContent>
          <w:r w:rsidR="00EC16A5">
            <w:rPr>
              <w:bdr w:val="none" w:sz="0" w:space="0" w:color="auto" w:frame="1"/>
            </w:rPr>
            <w:fldChar w:fldCharType="begin"/>
          </w:r>
          <w:r w:rsidR="00EC16A5">
            <w:rPr>
              <w:bdr w:val="none" w:sz="0" w:space="0" w:color="auto" w:frame="1"/>
              <w:lang w:val="ro-RO"/>
            </w:rPr>
            <w:instrText xml:space="preserve"> CITATION Ame18 \l 1048 </w:instrText>
          </w:r>
          <w:r w:rsidR="00EC16A5">
            <w:rPr>
              <w:bdr w:val="none" w:sz="0" w:space="0" w:color="auto" w:frame="1"/>
            </w:rPr>
            <w:fldChar w:fldCharType="separate"/>
          </w:r>
          <w:r w:rsidR="00CE4424" w:rsidRPr="00CE4424">
            <w:rPr>
              <w:noProof/>
              <w:bdr w:val="none" w:sz="0" w:space="0" w:color="auto" w:frame="1"/>
              <w:lang w:val="ro-RO"/>
            </w:rPr>
            <w:t>(American Cancer Society and Vital Strategies, 2018)</w:t>
          </w:r>
          <w:r w:rsidR="00EC16A5">
            <w:rPr>
              <w:bdr w:val="none" w:sz="0" w:space="0" w:color="auto" w:frame="1"/>
            </w:rPr>
            <w:fldChar w:fldCharType="end"/>
          </w:r>
        </w:sdtContent>
      </w:sdt>
      <w:r w:rsidR="00EC16A5">
        <w:rPr>
          <w:bdr w:val="none" w:sz="0" w:space="0" w:color="auto" w:frame="1"/>
        </w:rPr>
        <w:t>,</w:t>
      </w:r>
      <w:sdt>
        <w:sdtPr>
          <w:rPr>
            <w:bdr w:val="none" w:sz="0" w:space="0" w:color="auto" w:frame="1"/>
          </w:rPr>
          <w:id w:val="-907065426"/>
          <w:citation/>
        </w:sdtPr>
        <w:sdtContent>
          <w:r w:rsidR="00EC16A5">
            <w:rPr>
              <w:bdr w:val="none" w:sz="0" w:space="0" w:color="auto" w:frame="1"/>
            </w:rPr>
            <w:fldChar w:fldCharType="begin"/>
          </w:r>
          <w:r w:rsidR="00EC16A5">
            <w:rPr>
              <w:bdr w:val="none" w:sz="0" w:space="0" w:color="auto" w:frame="1"/>
              <w:lang w:val="ro-RO"/>
            </w:rPr>
            <w:instrText xml:space="preserve"> CITATION Wor19 \l 1048 </w:instrText>
          </w:r>
          <w:r w:rsidR="00EC16A5">
            <w:rPr>
              <w:bdr w:val="none" w:sz="0" w:space="0" w:color="auto" w:frame="1"/>
            </w:rPr>
            <w:fldChar w:fldCharType="separate"/>
          </w:r>
          <w:r w:rsidR="00CE4424">
            <w:rPr>
              <w:noProof/>
              <w:bdr w:val="none" w:sz="0" w:space="0" w:color="auto" w:frame="1"/>
              <w:lang w:val="ro-RO"/>
            </w:rPr>
            <w:t xml:space="preserve"> </w:t>
          </w:r>
          <w:r w:rsidR="00CE4424" w:rsidRPr="00CE4424">
            <w:rPr>
              <w:noProof/>
              <w:bdr w:val="none" w:sz="0" w:space="0" w:color="auto" w:frame="1"/>
              <w:lang w:val="ro-RO"/>
            </w:rPr>
            <w:t>(World Health Organization -Regional Office for Europe, 2019)</w:t>
          </w:r>
          <w:r w:rsidR="00EC16A5">
            <w:rPr>
              <w:bdr w:val="none" w:sz="0" w:space="0" w:color="auto" w:frame="1"/>
            </w:rPr>
            <w:fldChar w:fldCharType="end"/>
          </w:r>
        </w:sdtContent>
      </w:sdt>
    </w:p>
    <w:p w14:paraId="2DF8175E" w14:textId="77777777" w:rsidR="00342A7B" w:rsidRDefault="00BC10D9" w:rsidP="00703C10">
      <w:pPr>
        <w:rPr>
          <w:bdr w:val="none" w:sz="0" w:space="0" w:color="auto" w:frame="1"/>
        </w:rPr>
      </w:pPr>
      <w:r w:rsidRPr="0009222B">
        <w:rPr>
          <w:bdr w:val="none" w:sz="0" w:space="0" w:color="auto" w:frame="1"/>
        </w:rPr>
        <w:t xml:space="preserve">Daunele cauzate de tutun încep înainte de naștere, deoarece femeile însărcinate care fumează </w:t>
      </w:r>
      <w:r>
        <w:rPr>
          <w:bdr w:val="none" w:sz="0" w:space="0" w:color="auto" w:frame="1"/>
        </w:rPr>
        <w:t>pot da</w:t>
      </w:r>
      <w:r w:rsidRPr="0009222B">
        <w:rPr>
          <w:bdr w:val="none" w:sz="0" w:space="0" w:color="auto" w:frame="1"/>
        </w:rPr>
        <w:t xml:space="preserve"> naștere copiilor cu risc mai mare de tulburări congenitale, cancer, boli pulmonare, greutate mică la naștere și moarte subită. </w:t>
      </w:r>
    </w:p>
    <w:p w14:paraId="21A53DF4" w14:textId="3CEE0168" w:rsidR="00CE1E4B" w:rsidRDefault="00CE1E4B" w:rsidP="00703C10">
      <w:r w:rsidRPr="004572C4">
        <w:t xml:space="preserve">Consumul de tutun este principala cauză a cancerului – și este </w:t>
      </w:r>
      <w:r w:rsidR="00404D75">
        <w:t xml:space="preserve">o cauză </w:t>
      </w:r>
      <w:r w:rsidRPr="004572C4">
        <w:t>evitabilă. Nu există niciun mod sigur de a consuma tutun, iar fumatul este cel mai periculos mod de a consuma tutun, întrucât combustia tutunului sau fumul de tutun generează cel mai mare risc de cancer, întrucât cele mai multe substanțe toxice, inclusiv substanțe cancerigene, apar în timpul procesului de ardere. Tutunul cauzează diferite tipuri de cancer, în special dacă este fumat. De asemenea, fumul de tutun cauzează cancer la nefumătorii care inhalează fumul de tutun de la fumători și la copiii părinților care fumează.</w:t>
      </w:r>
      <w:sdt>
        <w:sdtPr>
          <w:id w:val="268445411"/>
          <w:citation/>
        </w:sdtPr>
        <w:sdtContent>
          <w:r w:rsidR="007E0567">
            <w:fldChar w:fldCharType="begin"/>
          </w:r>
          <w:r w:rsidR="00A10E2D">
            <w:rPr>
              <w:lang w:val="ro-RO"/>
            </w:rPr>
            <w:instrText xml:space="preserve">CITATION htt \l 1048 </w:instrText>
          </w:r>
          <w:r w:rsidR="007E0567">
            <w:fldChar w:fldCharType="separate"/>
          </w:r>
          <w:r w:rsidR="00CE4424">
            <w:rPr>
              <w:noProof/>
              <w:lang w:val="ro-RO"/>
            </w:rPr>
            <w:t xml:space="preserve"> (International Agency for Research on Cancer, World Health Organization, 2023)</w:t>
          </w:r>
          <w:r w:rsidR="007E0567">
            <w:fldChar w:fldCharType="end"/>
          </w:r>
        </w:sdtContent>
      </w:sdt>
    </w:p>
    <w:p w14:paraId="28F2863E" w14:textId="2DDE5B99" w:rsidR="00A10E2D" w:rsidRDefault="00CE1E4B" w:rsidP="00703C10">
      <w:r w:rsidRPr="004572C4">
        <w:t xml:space="preserve">Riscul de cancer pulmonar este de 20 – 25 de ori mai mare la bărbații și femeile care fumează, în raport cu cei care nu fumează. Riscul crește cu numărul anilor de fumat, cu numărul de țigarete fumate pe zi și cu cât vârsta la care fumătorul începe să fumeze este mai mică. </w:t>
      </w:r>
      <w:r w:rsidR="00A10E2D" w:rsidRPr="004572C4">
        <w:t>În Europa, fumatul cauzează aproximativ 82 % din cazurile de cancer pulmonar</w:t>
      </w:r>
      <w:r w:rsidR="00A10E2D" w:rsidRPr="004572C4">
        <w:rPr>
          <w:color w:val="605C5C"/>
        </w:rPr>
        <w:t>.</w:t>
      </w:r>
      <w:r w:rsidR="00A10E2D">
        <w:rPr>
          <w:color w:val="605C5C"/>
        </w:rPr>
        <w:t xml:space="preserve"> </w:t>
      </w:r>
      <w:sdt>
        <w:sdtPr>
          <w:id w:val="-812631467"/>
          <w:citation/>
        </w:sdtPr>
        <w:sdtContent>
          <w:r w:rsidR="00A10E2D">
            <w:fldChar w:fldCharType="begin"/>
          </w:r>
          <w:r w:rsidR="00A10E2D">
            <w:instrText xml:space="preserve"> CITATION htt \l 1033 </w:instrText>
          </w:r>
          <w:r w:rsidR="00A10E2D">
            <w:fldChar w:fldCharType="separate"/>
          </w:r>
          <w:r w:rsidR="00CE4424">
            <w:rPr>
              <w:noProof/>
            </w:rPr>
            <w:t>(International Agency for Research on Cancer, World Health Organization, 2023)</w:t>
          </w:r>
          <w:r w:rsidR="00A10E2D">
            <w:fldChar w:fldCharType="end"/>
          </w:r>
        </w:sdtContent>
      </w:sdt>
    </w:p>
    <w:p w14:paraId="4469EC46" w14:textId="3088C239" w:rsidR="0043321F" w:rsidRDefault="0043321F" w:rsidP="008932DC">
      <w:r>
        <w:t>Pe lângă riscurile de cancer, fumatul este factor de risc pentru alte trei grupe de boli netransmisibile: bolile cardiovasculare, diabetul și bolile respiratorii.</w:t>
      </w:r>
      <w:sdt>
        <w:sdtPr>
          <w:id w:val="447123200"/>
          <w:citation/>
        </w:sdtPr>
        <w:sdtContent>
          <w:r>
            <w:fldChar w:fldCharType="begin"/>
          </w:r>
          <w:r>
            <w:rPr>
              <w:lang w:val="ro-RO"/>
            </w:rPr>
            <w:instrText xml:space="preserve"> CITATION Wor19 \l 1048 </w:instrText>
          </w:r>
          <w:r>
            <w:fldChar w:fldCharType="separate"/>
          </w:r>
          <w:r w:rsidR="00CE4424">
            <w:rPr>
              <w:noProof/>
              <w:lang w:val="ro-RO"/>
            </w:rPr>
            <w:t xml:space="preserve"> (World Health Organization -Regional Office for Europe, 2019)</w:t>
          </w:r>
          <w:r>
            <w:fldChar w:fldCharType="end"/>
          </w:r>
        </w:sdtContent>
      </w:sdt>
    </w:p>
    <w:p w14:paraId="38E03D8B" w14:textId="77777777" w:rsidR="00CE1E4B" w:rsidRDefault="00CE1E4B" w:rsidP="008932DC">
      <w:pPr>
        <w:rPr>
          <w:bdr w:val="none" w:sz="0" w:space="0" w:color="auto" w:frame="1"/>
        </w:rPr>
      </w:pPr>
      <w:r>
        <w:rPr>
          <w:bdr w:val="none" w:sz="0" w:space="0" w:color="auto" w:frame="1"/>
        </w:rPr>
        <w:t>Printre r</w:t>
      </w:r>
      <w:r w:rsidR="00BC10D9" w:rsidRPr="0009222B">
        <w:rPr>
          <w:bdr w:val="none" w:sz="0" w:space="0" w:color="auto" w:frame="1"/>
        </w:rPr>
        <w:t xml:space="preserve">iscurile nou identificate ale fumatului </w:t>
      </w:r>
      <w:r>
        <w:rPr>
          <w:bdr w:val="none" w:sz="0" w:space="0" w:color="auto" w:frame="1"/>
        </w:rPr>
        <w:t>se numără:</w:t>
      </w:r>
    </w:p>
    <w:p w14:paraId="0DA5D743" w14:textId="77777777" w:rsidR="00CE1E4B" w:rsidRPr="001253BA" w:rsidRDefault="00CE1E4B" w:rsidP="001253BA">
      <w:pPr>
        <w:pStyle w:val="ListParagraph"/>
        <w:numPr>
          <w:ilvl w:val="0"/>
          <w:numId w:val="11"/>
        </w:numPr>
        <w:rPr>
          <w:bdr w:val="none" w:sz="0" w:space="0" w:color="auto" w:frame="1"/>
        </w:rPr>
      </w:pPr>
      <w:r w:rsidRPr="001253BA">
        <w:rPr>
          <w:bdr w:val="none" w:sz="0" w:space="0" w:color="auto" w:frame="1"/>
        </w:rPr>
        <w:t>stare de sănătate precară la fumătorii afectați de</w:t>
      </w:r>
      <w:r w:rsidR="00BC10D9" w:rsidRPr="001253BA">
        <w:rPr>
          <w:bdr w:val="none" w:sz="0" w:space="0" w:color="auto" w:frame="1"/>
        </w:rPr>
        <w:t xml:space="preserve"> COVID-19 (de exemplu, </w:t>
      </w:r>
      <w:r w:rsidRPr="001253BA">
        <w:rPr>
          <w:bdr w:val="none" w:sz="0" w:space="0" w:color="auto" w:frame="1"/>
        </w:rPr>
        <w:t xml:space="preserve">o prevelență mai mare a </w:t>
      </w:r>
      <w:r w:rsidR="00BC10D9" w:rsidRPr="001253BA">
        <w:rPr>
          <w:bdr w:val="none" w:sz="0" w:space="0" w:color="auto" w:frame="1"/>
        </w:rPr>
        <w:t>spitalizări</w:t>
      </w:r>
      <w:r w:rsidRPr="001253BA">
        <w:rPr>
          <w:bdr w:val="none" w:sz="0" w:space="0" w:color="auto" w:frame="1"/>
        </w:rPr>
        <w:t>lor</w:t>
      </w:r>
      <w:r w:rsidR="00BC10D9" w:rsidRPr="001253BA">
        <w:rPr>
          <w:bdr w:val="none" w:sz="0" w:space="0" w:color="auto" w:frame="1"/>
        </w:rPr>
        <w:t xml:space="preserve"> și probabilitate de deces</w:t>
      </w:r>
      <w:r w:rsidRPr="001253BA">
        <w:rPr>
          <w:bdr w:val="none" w:sz="0" w:space="0" w:color="auto" w:frame="1"/>
        </w:rPr>
        <w:t xml:space="preserve"> mai mare</w:t>
      </w:r>
      <w:r w:rsidR="00BC10D9" w:rsidRPr="001253BA">
        <w:rPr>
          <w:bdr w:val="none" w:sz="0" w:space="0" w:color="auto" w:frame="1"/>
        </w:rPr>
        <w:t>)</w:t>
      </w:r>
    </w:p>
    <w:p w14:paraId="2E3FF00B" w14:textId="77777777" w:rsidR="00CE1E4B" w:rsidRPr="001253BA" w:rsidRDefault="00BC10D9" w:rsidP="001253BA">
      <w:pPr>
        <w:pStyle w:val="ListParagraph"/>
        <w:numPr>
          <w:ilvl w:val="0"/>
          <w:numId w:val="11"/>
        </w:numPr>
        <w:rPr>
          <w:bdr w:val="none" w:sz="0" w:space="0" w:color="auto" w:frame="1"/>
        </w:rPr>
      </w:pPr>
      <w:r w:rsidRPr="001253BA">
        <w:rPr>
          <w:bdr w:val="none" w:sz="0" w:space="0" w:color="auto" w:frame="1"/>
        </w:rPr>
        <w:t>risc crescut de boală parodontală</w:t>
      </w:r>
    </w:p>
    <w:p w14:paraId="65E8B381" w14:textId="77777777" w:rsidR="00CE1E4B" w:rsidRPr="001253BA" w:rsidRDefault="00CE1E4B" w:rsidP="001253BA">
      <w:pPr>
        <w:pStyle w:val="ListParagraph"/>
        <w:numPr>
          <w:ilvl w:val="0"/>
          <w:numId w:val="11"/>
        </w:numPr>
        <w:rPr>
          <w:bdr w:val="none" w:sz="0" w:space="0" w:color="auto" w:frame="1"/>
        </w:rPr>
      </w:pPr>
      <w:r w:rsidRPr="001253BA">
        <w:rPr>
          <w:bdr w:val="none" w:sz="0" w:space="0" w:color="auto" w:frame="1"/>
        </w:rPr>
        <w:t xml:space="preserve">risc crescut de </w:t>
      </w:r>
      <w:r w:rsidR="00BC10D9" w:rsidRPr="001253BA">
        <w:rPr>
          <w:bdr w:val="none" w:sz="0" w:space="0" w:color="auto" w:frame="1"/>
        </w:rPr>
        <w:t xml:space="preserve">boala de reflux gastro-esofagian. </w:t>
      </w:r>
    </w:p>
    <w:p w14:paraId="1D7BDE8B" w14:textId="7DF862F7" w:rsidR="00CE1E4B" w:rsidRDefault="00BC10D9" w:rsidP="008932DC">
      <w:pPr>
        <w:rPr>
          <w:bdr w:val="none" w:sz="0" w:space="0" w:color="auto" w:frame="1"/>
        </w:rPr>
      </w:pPr>
      <w:r w:rsidRPr="0009222B">
        <w:rPr>
          <w:bdr w:val="none" w:sz="0" w:space="0" w:color="auto" w:frame="1"/>
        </w:rPr>
        <w:t>Riscul de deces și invaliditate din cauza consumului de tutun crește odată cu numărul de țigări fumate.</w:t>
      </w:r>
      <w:r w:rsidR="000A3C42">
        <w:rPr>
          <w:noProof/>
          <w:bdr w:val="none" w:sz="0" w:space="0" w:color="auto" w:frame="1"/>
          <w:lang w:val="ro-RO"/>
        </w:rPr>
        <w:t xml:space="preserve"> </w:t>
      </w:r>
      <w:r w:rsidR="00A10E2D">
        <w:rPr>
          <w:noProof/>
          <w:bdr w:val="none" w:sz="0" w:space="0" w:color="auto" w:frame="1"/>
          <w:lang w:val="ro-RO"/>
        </w:rPr>
        <w:t>R</w:t>
      </w:r>
      <w:r w:rsidR="00CE1E4B" w:rsidRPr="0009222B">
        <w:rPr>
          <w:bdr w:val="none" w:sz="0" w:space="0" w:color="auto" w:frame="1"/>
        </w:rPr>
        <w:t>iscul de mortalitate și morbiditate în rândul fumătorilor din cauza bolilor legate de tutun, cum ar fi boala cardiacă ischemică, crește odată cu numărul de țigări fumate pe zi. În special, cele mai mari efecte sunt la femeile adulte tinere, care sunt cea mai nouă țintă a marketingului industriei tutunului în multe țări.</w:t>
      </w:r>
      <w:r w:rsidR="007E0567">
        <w:rPr>
          <w:bdr w:val="none" w:sz="0" w:space="0" w:color="auto" w:frame="1"/>
        </w:rPr>
        <w:t xml:space="preserve"> </w:t>
      </w:r>
      <w:sdt>
        <w:sdtPr>
          <w:rPr>
            <w:bdr w:val="none" w:sz="0" w:space="0" w:color="auto" w:frame="1"/>
          </w:rPr>
          <w:id w:val="1823155129"/>
          <w:citation/>
        </w:sdtPr>
        <w:sdtContent>
          <w:r w:rsidR="007E0567">
            <w:rPr>
              <w:bdr w:val="none" w:sz="0" w:space="0" w:color="auto" w:frame="1"/>
            </w:rPr>
            <w:fldChar w:fldCharType="begin"/>
          </w:r>
          <w:r w:rsidR="007E0567">
            <w:rPr>
              <w:bdr w:val="none" w:sz="0" w:space="0" w:color="auto" w:frame="1"/>
              <w:lang w:val="ro-RO"/>
            </w:rPr>
            <w:instrText xml:space="preserve"> CITATION Vit22 \l 1048 </w:instrText>
          </w:r>
          <w:r w:rsidR="007E0567">
            <w:rPr>
              <w:bdr w:val="none" w:sz="0" w:space="0" w:color="auto" w:frame="1"/>
            </w:rPr>
            <w:fldChar w:fldCharType="separate"/>
          </w:r>
          <w:r w:rsidR="00CE4424" w:rsidRPr="00CE4424">
            <w:rPr>
              <w:noProof/>
              <w:bdr w:val="none" w:sz="0" w:space="0" w:color="auto" w:frame="1"/>
              <w:lang w:val="ro-RO"/>
            </w:rPr>
            <w:t>(Vital Strategies and Tobacconomics at the University of Illinois Chicago, 2021, Last updated: May 2022)</w:t>
          </w:r>
          <w:r w:rsidR="007E0567">
            <w:rPr>
              <w:bdr w:val="none" w:sz="0" w:space="0" w:color="auto" w:frame="1"/>
            </w:rPr>
            <w:fldChar w:fldCharType="end"/>
          </w:r>
        </w:sdtContent>
      </w:sdt>
    </w:p>
    <w:p w14:paraId="3474E864" w14:textId="77777777" w:rsidR="008A2ABB" w:rsidRDefault="008A2ABB" w:rsidP="008932DC">
      <w:pPr>
        <w:rPr>
          <w:b/>
          <w:bCs/>
          <w:bdr w:val="none" w:sz="0" w:space="0" w:color="auto" w:frame="1"/>
        </w:rPr>
      </w:pPr>
    </w:p>
    <w:p w14:paraId="503411B9" w14:textId="12A3E42A" w:rsidR="0029760E" w:rsidRPr="0029760E" w:rsidRDefault="0029760E" w:rsidP="008932DC">
      <w:pPr>
        <w:rPr>
          <w:b/>
          <w:bCs/>
          <w:bdr w:val="none" w:sz="0" w:space="0" w:color="auto" w:frame="1"/>
        </w:rPr>
      </w:pPr>
      <w:r w:rsidRPr="0029760E">
        <w:rPr>
          <w:b/>
          <w:bCs/>
          <w:bdr w:val="none" w:sz="0" w:space="0" w:color="auto" w:frame="1"/>
        </w:rPr>
        <w:t>Produsele de fumat bazate pe tutun încălzit</w:t>
      </w:r>
    </w:p>
    <w:p w14:paraId="12946B0E" w14:textId="0617F9C1" w:rsidR="0029760E" w:rsidRDefault="0029760E" w:rsidP="008932DC">
      <w:pPr>
        <w:rPr>
          <w:bdr w:val="none" w:sz="0" w:space="0" w:color="auto" w:frame="1"/>
        </w:rPr>
      </w:pPr>
      <w:r>
        <w:rPr>
          <w:bdr w:val="none" w:sz="0" w:space="0" w:color="auto" w:frame="1"/>
        </w:rPr>
        <w:t xml:space="preserve">Produsele de fumat bazate pe tutun încălzit (HTP-heated tobacco products, </w:t>
      </w:r>
      <w:r w:rsidR="00D62516">
        <w:rPr>
          <w:bdr w:val="none" w:sz="0" w:space="0" w:color="auto" w:frame="1"/>
        </w:rPr>
        <w:t xml:space="preserve">tipuri precum: </w:t>
      </w:r>
      <w:r>
        <w:rPr>
          <w:bdr w:val="none" w:sz="0" w:space="0" w:color="auto" w:frame="1"/>
        </w:rPr>
        <w:t>IQOS</w:t>
      </w:r>
      <w:r w:rsidR="00D62516">
        <w:rPr>
          <w:bdr w:val="none" w:sz="0" w:space="0" w:color="auto" w:frame="1"/>
        </w:rPr>
        <w:t>, Glo, iFuse</w:t>
      </w:r>
      <w:r>
        <w:rPr>
          <w:bdr w:val="none" w:sz="0" w:space="0" w:color="auto" w:frame="1"/>
        </w:rPr>
        <w:t>) sunt produse care eliberează vapori cu miros de tutun și nicotină fără semnele tradiționale ale combustiei: foc, fum și scrum.</w:t>
      </w:r>
      <w:r w:rsidR="00FB420B">
        <w:rPr>
          <w:bdr w:val="none" w:sz="0" w:space="0" w:color="auto" w:frame="1"/>
        </w:rPr>
        <w:t xml:space="preserve"> </w:t>
      </w:r>
      <w:sdt>
        <w:sdtPr>
          <w:rPr>
            <w:bdr w:val="none" w:sz="0" w:space="0" w:color="auto" w:frame="1"/>
          </w:rPr>
          <w:id w:val="671690171"/>
          <w:citation/>
        </w:sdtPr>
        <w:sdtContent>
          <w:r w:rsidR="00FB420B">
            <w:rPr>
              <w:bdr w:val="none" w:sz="0" w:space="0" w:color="auto" w:frame="1"/>
            </w:rPr>
            <w:fldChar w:fldCharType="begin"/>
          </w:r>
          <w:r w:rsidR="00FB420B">
            <w:rPr>
              <w:bdr w:val="none" w:sz="0" w:space="0" w:color="auto" w:frame="1"/>
              <w:lang w:val="ro-RO"/>
            </w:rPr>
            <w:instrText xml:space="preserve"> CITATION Fric1 \l 1048 </w:instrText>
          </w:r>
          <w:r w:rsidR="00FB420B">
            <w:rPr>
              <w:bdr w:val="none" w:sz="0" w:space="0" w:color="auto" w:frame="1"/>
            </w:rPr>
            <w:fldChar w:fldCharType="separate"/>
          </w:r>
          <w:r w:rsidR="00CE4424" w:rsidRPr="00CE4424">
            <w:rPr>
              <w:noProof/>
              <w:bdr w:val="none" w:sz="0" w:space="0" w:color="auto" w:frame="1"/>
              <w:lang w:val="ro-RO"/>
            </w:rPr>
            <w:t>(Fried ND, 2020 Dec 1)</w:t>
          </w:r>
          <w:r w:rsidR="00FB420B">
            <w:rPr>
              <w:bdr w:val="none" w:sz="0" w:space="0" w:color="auto" w:frame="1"/>
            </w:rPr>
            <w:fldChar w:fldCharType="end"/>
          </w:r>
        </w:sdtContent>
      </w:sdt>
    </w:p>
    <w:p w14:paraId="6B378B57" w14:textId="469DB40C" w:rsidR="00536A90" w:rsidRDefault="00536A90" w:rsidP="008932DC">
      <w:pPr>
        <w:rPr>
          <w:bdr w:val="none" w:sz="0" w:space="0" w:color="auto" w:frame="1"/>
        </w:rPr>
      </w:pPr>
      <w:r>
        <w:rPr>
          <w:bdr w:val="none" w:sz="0" w:space="0" w:color="auto" w:frame="1"/>
        </w:rPr>
        <w:t>Produsele de fumat bazate pe tutun încălzit</w:t>
      </w:r>
      <w:r w:rsidR="0029760E">
        <w:rPr>
          <w:bdr w:val="none" w:sz="0" w:space="0" w:color="auto" w:frame="1"/>
        </w:rPr>
        <w:t xml:space="preserve"> </w:t>
      </w:r>
      <w:r w:rsidR="006C3213">
        <w:rPr>
          <w:bdr w:val="none" w:sz="0" w:space="0" w:color="auto" w:frame="1"/>
        </w:rPr>
        <w:t>-</w:t>
      </w:r>
      <w:r>
        <w:rPr>
          <w:bdr w:val="none" w:sz="0" w:space="0" w:color="auto" w:frame="1"/>
        </w:rPr>
        <w:t xml:space="preserve"> conțin tutun și expun utilizatorul la emisii toxice, dintre care multe sunt asociate cu cancerul și sunt dăunătoare sănătății.</w:t>
      </w:r>
      <w:sdt>
        <w:sdtPr>
          <w:rPr>
            <w:bdr w:val="none" w:sz="0" w:space="0" w:color="auto" w:frame="1"/>
          </w:rPr>
          <w:id w:val="317849584"/>
          <w:citation/>
        </w:sdtPr>
        <w:sdtContent>
          <w:r>
            <w:rPr>
              <w:bdr w:val="none" w:sz="0" w:space="0" w:color="auto" w:frame="1"/>
            </w:rPr>
            <w:fldChar w:fldCharType="begin"/>
          </w:r>
          <w:r>
            <w:rPr>
              <w:bdr w:val="none" w:sz="0" w:space="0" w:color="auto" w:frame="1"/>
              <w:lang w:val="ro-RO"/>
            </w:rPr>
            <w:instrText xml:space="preserve"> CITATION Wor23 \l 1048 </w:instrText>
          </w:r>
          <w:r>
            <w:rPr>
              <w:bdr w:val="none" w:sz="0" w:space="0" w:color="auto" w:frame="1"/>
            </w:rPr>
            <w:fldChar w:fldCharType="separate"/>
          </w:r>
          <w:r w:rsidR="00CE4424">
            <w:rPr>
              <w:noProof/>
              <w:bdr w:val="none" w:sz="0" w:space="0" w:color="auto" w:frame="1"/>
              <w:lang w:val="ro-RO"/>
            </w:rPr>
            <w:t xml:space="preserve"> </w:t>
          </w:r>
          <w:r w:rsidR="00CE4424" w:rsidRPr="00CE4424">
            <w:rPr>
              <w:noProof/>
              <w:bdr w:val="none" w:sz="0" w:space="0" w:color="auto" w:frame="1"/>
              <w:lang w:val="ro-RO"/>
            </w:rPr>
            <w:t>(World Health Organization, 2023)</w:t>
          </w:r>
          <w:r>
            <w:rPr>
              <w:bdr w:val="none" w:sz="0" w:space="0" w:color="auto" w:frame="1"/>
            </w:rPr>
            <w:fldChar w:fldCharType="end"/>
          </w:r>
        </w:sdtContent>
      </w:sdt>
    </w:p>
    <w:p w14:paraId="186D8EFA" w14:textId="59B23411" w:rsidR="00B049BA" w:rsidRDefault="006C3213" w:rsidP="008932DC">
      <w:pPr>
        <w:rPr>
          <w:bdr w:val="none" w:sz="0" w:space="0" w:color="auto" w:frame="1"/>
        </w:rPr>
      </w:pPr>
      <w:r>
        <w:rPr>
          <w:bdr w:val="none" w:sz="0" w:space="0" w:color="auto" w:frame="1"/>
        </w:rPr>
        <w:lastRenderedPageBreak/>
        <w:t xml:space="preserve">Deși produsele de tutun încălzit se vând sub reclama că sunt o alternativă mai puțin dăunătoare la țigările convenționale, realitatea este că acestea sunt dăunătoare sănătății. </w:t>
      </w:r>
      <w:r w:rsidR="00821DFE">
        <w:rPr>
          <w:bdr w:val="none" w:sz="0" w:space="0" w:color="auto" w:frame="1"/>
        </w:rPr>
        <w:t xml:space="preserve">Totuși produsele de tutun încălzit produc emisii de substanțe chimice, inclusiv nicotină, benzene, acroleină și nitrosamine. </w:t>
      </w:r>
      <w:r>
        <w:rPr>
          <w:bdr w:val="none" w:sz="0" w:space="0" w:color="auto" w:frame="1"/>
        </w:rPr>
        <w:t xml:space="preserve">Printre efectele negative semnalate se numără: </w:t>
      </w:r>
    </w:p>
    <w:p w14:paraId="13E26375" w14:textId="432BD220" w:rsidR="00C27788" w:rsidRPr="00821DFE" w:rsidRDefault="006C3213" w:rsidP="00821DFE">
      <w:pPr>
        <w:pStyle w:val="ListParagraph"/>
        <w:numPr>
          <w:ilvl w:val="0"/>
          <w:numId w:val="14"/>
        </w:numPr>
        <w:rPr>
          <w:bdr w:val="none" w:sz="0" w:space="0" w:color="auto" w:frame="1"/>
        </w:rPr>
      </w:pPr>
      <w:r w:rsidRPr="00821DFE">
        <w:rPr>
          <w:bdr w:val="none" w:sz="0" w:space="0" w:color="auto" w:frame="1"/>
        </w:rPr>
        <w:t>alterarea funcției mitocondriale</w:t>
      </w:r>
      <w:r w:rsidR="00B049BA" w:rsidRPr="00821DFE">
        <w:rPr>
          <w:bdr w:val="none" w:sz="0" w:space="0" w:color="auto" w:frame="1"/>
        </w:rPr>
        <w:t xml:space="preserve"> care, pe termen lung poate exacerba inflamația căilor aeriene, cu remodelare și posibil carcinogeneză,</w:t>
      </w:r>
      <w:sdt>
        <w:sdtPr>
          <w:rPr>
            <w:bdr w:val="none" w:sz="0" w:space="0" w:color="auto" w:frame="1"/>
          </w:rPr>
          <w:id w:val="1834403725"/>
          <w:citation/>
        </w:sdtPr>
        <w:sdtContent>
          <w:r w:rsidR="00B049BA" w:rsidRPr="00821DFE">
            <w:rPr>
              <w:bdr w:val="none" w:sz="0" w:space="0" w:color="auto" w:frame="1"/>
            </w:rPr>
            <w:fldChar w:fldCharType="begin"/>
          </w:r>
          <w:r w:rsidR="00B049BA" w:rsidRPr="00821DFE">
            <w:rPr>
              <w:bdr w:val="none" w:sz="0" w:space="0" w:color="auto" w:frame="1"/>
              <w:lang w:val="ro-RO"/>
            </w:rPr>
            <w:instrText xml:space="preserve"> CITATION Zny21 \l 1048 </w:instrText>
          </w:r>
          <w:r w:rsidR="00B049BA" w:rsidRPr="00821DFE">
            <w:rPr>
              <w:bdr w:val="none" w:sz="0" w:space="0" w:color="auto" w:frame="1"/>
            </w:rPr>
            <w:fldChar w:fldCharType="separate"/>
          </w:r>
          <w:r w:rsidR="00CE4424">
            <w:rPr>
              <w:noProof/>
              <w:bdr w:val="none" w:sz="0" w:space="0" w:color="auto" w:frame="1"/>
              <w:lang w:val="ro-RO"/>
            </w:rPr>
            <w:t xml:space="preserve"> </w:t>
          </w:r>
          <w:r w:rsidR="00CE4424" w:rsidRPr="00CE4424">
            <w:rPr>
              <w:noProof/>
              <w:bdr w:val="none" w:sz="0" w:space="0" w:color="auto" w:frame="1"/>
              <w:lang w:val="ro-RO"/>
            </w:rPr>
            <w:t>(Znyk M, 2021 Jun 21)</w:t>
          </w:r>
          <w:r w:rsidR="00B049BA" w:rsidRPr="00821DFE">
            <w:rPr>
              <w:bdr w:val="none" w:sz="0" w:space="0" w:color="auto" w:frame="1"/>
            </w:rPr>
            <w:fldChar w:fldCharType="end"/>
          </w:r>
        </w:sdtContent>
      </w:sdt>
    </w:p>
    <w:p w14:paraId="741F6A79" w14:textId="330645F0" w:rsidR="00B049BA" w:rsidRPr="00821DFE" w:rsidRDefault="00B049BA" w:rsidP="00821DFE">
      <w:pPr>
        <w:pStyle w:val="ListParagraph"/>
        <w:numPr>
          <w:ilvl w:val="0"/>
          <w:numId w:val="14"/>
        </w:numPr>
        <w:rPr>
          <w:bdr w:val="none" w:sz="0" w:space="0" w:color="auto" w:frame="1"/>
        </w:rPr>
      </w:pPr>
      <w:r w:rsidRPr="00821DFE">
        <w:rPr>
          <w:bdr w:val="none" w:sz="0" w:space="0" w:color="auto" w:frame="1"/>
        </w:rPr>
        <w:t xml:space="preserve">creșterea stresului oxidative și creșterea susceptibilității la infecții a tractului respirator </w:t>
      </w:r>
      <w:sdt>
        <w:sdtPr>
          <w:rPr>
            <w:bdr w:val="none" w:sz="0" w:space="0" w:color="auto" w:frame="1"/>
          </w:rPr>
          <w:id w:val="-1039352741"/>
          <w:citation/>
        </w:sdtPr>
        <w:sdtContent>
          <w:r w:rsidRPr="00821DFE">
            <w:rPr>
              <w:bdr w:val="none" w:sz="0" w:space="0" w:color="auto" w:frame="1"/>
            </w:rPr>
            <w:fldChar w:fldCharType="begin"/>
          </w:r>
          <w:r w:rsidRPr="00821DFE">
            <w:rPr>
              <w:bdr w:val="none" w:sz="0" w:space="0" w:color="auto" w:frame="1"/>
              <w:lang w:val="ro-RO"/>
            </w:rPr>
            <w:instrText xml:space="preserve"> CITATION Zny21 \l 1048 </w:instrText>
          </w:r>
          <w:r w:rsidRPr="00821DFE">
            <w:rPr>
              <w:bdr w:val="none" w:sz="0" w:space="0" w:color="auto" w:frame="1"/>
            </w:rPr>
            <w:fldChar w:fldCharType="separate"/>
          </w:r>
          <w:r w:rsidR="00CE4424" w:rsidRPr="00CE4424">
            <w:rPr>
              <w:noProof/>
              <w:bdr w:val="none" w:sz="0" w:space="0" w:color="auto" w:frame="1"/>
              <w:lang w:val="ro-RO"/>
            </w:rPr>
            <w:t>(Znyk M, 2021 Jun 21)</w:t>
          </w:r>
          <w:r w:rsidRPr="00821DFE">
            <w:rPr>
              <w:bdr w:val="none" w:sz="0" w:space="0" w:color="auto" w:frame="1"/>
            </w:rPr>
            <w:fldChar w:fldCharType="end"/>
          </w:r>
        </w:sdtContent>
      </w:sdt>
    </w:p>
    <w:p w14:paraId="537B49C8" w14:textId="23589D6D" w:rsidR="00B049BA" w:rsidRDefault="00B049BA" w:rsidP="00821DFE">
      <w:pPr>
        <w:pStyle w:val="ListParagraph"/>
        <w:numPr>
          <w:ilvl w:val="0"/>
          <w:numId w:val="14"/>
        </w:numPr>
        <w:rPr>
          <w:bdr w:val="none" w:sz="0" w:space="0" w:color="auto" w:frame="1"/>
        </w:rPr>
      </w:pPr>
      <w:r w:rsidRPr="00821DFE">
        <w:rPr>
          <w:bdr w:val="none" w:sz="0" w:space="0" w:color="auto" w:frame="1"/>
        </w:rPr>
        <w:t xml:space="preserve">expunerea cronică la acroleină (compus identificat în concentrații mari atăt în fumul de țigări convenționale, cât și în cel de tutun încălzit) duce la astm, afectare pulmonară, BPOC și chiar cancere la nivelul sistemului respirator </w:t>
      </w:r>
      <w:sdt>
        <w:sdtPr>
          <w:rPr>
            <w:bdr w:val="none" w:sz="0" w:space="0" w:color="auto" w:frame="1"/>
          </w:rPr>
          <w:id w:val="1178852947"/>
          <w:citation/>
        </w:sdtPr>
        <w:sdtContent>
          <w:r w:rsidRPr="00821DFE">
            <w:rPr>
              <w:bdr w:val="none" w:sz="0" w:space="0" w:color="auto" w:frame="1"/>
            </w:rPr>
            <w:fldChar w:fldCharType="begin"/>
          </w:r>
          <w:r w:rsidRPr="00821DFE">
            <w:rPr>
              <w:bdr w:val="none" w:sz="0" w:space="0" w:color="auto" w:frame="1"/>
              <w:lang w:val="ro-RO"/>
            </w:rPr>
            <w:instrText xml:space="preserve"> CITATION Hik11 \l 1048 </w:instrText>
          </w:r>
          <w:r w:rsidRPr="00821DFE">
            <w:rPr>
              <w:bdr w:val="none" w:sz="0" w:space="0" w:color="auto" w:frame="1"/>
            </w:rPr>
            <w:fldChar w:fldCharType="separate"/>
          </w:r>
          <w:r w:rsidR="00CE4424" w:rsidRPr="00CE4424">
            <w:rPr>
              <w:noProof/>
              <w:bdr w:val="none" w:sz="0" w:space="0" w:color="auto" w:frame="1"/>
              <w:lang w:val="ro-RO"/>
            </w:rPr>
            <w:t>(Hikisz P, 2023 Mar 11)</w:t>
          </w:r>
          <w:r w:rsidRPr="00821DFE">
            <w:rPr>
              <w:bdr w:val="none" w:sz="0" w:space="0" w:color="auto" w:frame="1"/>
            </w:rPr>
            <w:fldChar w:fldCharType="end"/>
          </w:r>
        </w:sdtContent>
      </w:sdt>
    </w:p>
    <w:p w14:paraId="056B26D9" w14:textId="5F7EA383" w:rsidR="00821DFE" w:rsidRPr="00821DFE" w:rsidRDefault="00821DFE" w:rsidP="00821DFE">
      <w:pPr>
        <w:pStyle w:val="ListParagraph"/>
        <w:numPr>
          <w:ilvl w:val="0"/>
          <w:numId w:val="14"/>
        </w:numPr>
        <w:rPr>
          <w:bdr w:val="none" w:sz="0" w:space="0" w:color="auto" w:frame="1"/>
        </w:rPr>
      </w:pPr>
      <w:r>
        <w:rPr>
          <w:bdr w:val="none" w:sz="0" w:space="0" w:color="auto" w:frame="1"/>
        </w:rPr>
        <w:t xml:space="preserve">potential dăunător al ametecului de substanțe chimice asupra sănătății cardiovasculare – similar cu ale țigărilor convenționale asupra frecvenței cardiace, tensiunii arteriale și rigidității arteriale. </w:t>
      </w:r>
      <w:sdt>
        <w:sdtPr>
          <w:rPr>
            <w:bdr w:val="none" w:sz="0" w:space="0" w:color="auto" w:frame="1"/>
          </w:rPr>
          <w:id w:val="238835708"/>
          <w:citation/>
        </w:sdtPr>
        <w:sdtContent>
          <w:r>
            <w:rPr>
              <w:bdr w:val="none" w:sz="0" w:space="0" w:color="auto" w:frame="1"/>
            </w:rPr>
            <w:fldChar w:fldCharType="begin"/>
          </w:r>
          <w:r>
            <w:rPr>
              <w:bdr w:val="none" w:sz="0" w:space="0" w:color="auto" w:frame="1"/>
              <w:lang w:val="ro-RO"/>
            </w:rPr>
            <w:instrText xml:space="preserve"> CITATION Fric1 \l 1048 </w:instrText>
          </w:r>
          <w:r>
            <w:rPr>
              <w:bdr w:val="none" w:sz="0" w:space="0" w:color="auto" w:frame="1"/>
            </w:rPr>
            <w:fldChar w:fldCharType="separate"/>
          </w:r>
          <w:r w:rsidR="00CE4424" w:rsidRPr="00CE4424">
            <w:rPr>
              <w:noProof/>
              <w:bdr w:val="none" w:sz="0" w:space="0" w:color="auto" w:frame="1"/>
              <w:lang w:val="ro-RO"/>
            </w:rPr>
            <w:t>(Fried ND, 2020 Dec 1)</w:t>
          </w:r>
          <w:r>
            <w:rPr>
              <w:bdr w:val="none" w:sz="0" w:space="0" w:color="auto" w:frame="1"/>
            </w:rPr>
            <w:fldChar w:fldCharType="end"/>
          </w:r>
        </w:sdtContent>
      </w:sdt>
    </w:p>
    <w:p w14:paraId="50E95E53" w14:textId="77777777" w:rsidR="00D62516" w:rsidRDefault="00D62516" w:rsidP="008932DC">
      <w:pPr>
        <w:rPr>
          <w:bdr w:val="none" w:sz="0" w:space="0" w:color="auto" w:frame="1"/>
        </w:rPr>
      </w:pPr>
    </w:p>
    <w:p w14:paraId="1027E54F" w14:textId="4051BB49" w:rsidR="006C3213" w:rsidRDefault="009B56E8" w:rsidP="008932DC">
      <w:pPr>
        <w:rPr>
          <w:bdr w:val="none" w:sz="0" w:space="0" w:color="auto" w:frame="1"/>
        </w:rPr>
      </w:pPr>
      <w:r>
        <w:rPr>
          <w:bdr w:val="none" w:sz="0" w:space="0" w:color="auto" w:frame="1"/>
        </w:rPr>
        <w:t>Emisiile de nicotină</w:t>
      </w:r>
      <w:r w:rsidR="00D62516">
        <w:rPr>
          <w:bdr w:val="none" w:sz="0" w:space="0" w:color="auto" w:frame="1"/>
        </w:rPr>
        <w:t xml:space="preserve"> ale produselor de tutun încălzit/per unitate de produs par să fie mai mici decât ale țigărilor convenționale: între 57 și 83% din emisiile unei țigări convenționale, iar măsurătorile privind nivelul de nicotină atins în plasma variază înter diferite produse putând fi mai mic sau la fel cu cel al unei țigări convenționale. Concentrația maximă de nicotină în plasma se atinge în același interval de timp ca în cazul țigărilor convenționale. </w:t>
      </w:r>
      <w:sdt>
        <w:sdtPr>
          <w:rPr>
            <w:bdr w:val="none" w:sz="0" w:space="0" w:color="auto" w:frame="1"/>
          </w:rPr>
          <w:id w:val="-272170597"/>
          <w:citation/>
        </w:sdtPr>
        <w:sdtContent>
          <w:r w:rsidR="00D62516">
            <w:rPr>
              <w:bdr w:val="none" w:sz="0" w:space="0" w:color="auto" w:frame="1"/>
            </w:rPr>
            <w:fldChar w:fldCharType="begin"/>
          </w:r>
          <w:r w:rsidR="00D62516">
            <w:rPr>
              <w:bdr w:val="none" w:sz="0" w:space="0" w:color="auto" w:frame="1"/>
              <w:lang w:val="ro-RO"/>
            </w:rPr>
            <w:instrText xml:space="preserve"> CITATION Wor20 \l 1048 </w:instrText>
          </w:r>
          <w:r w:rsidR="00D62516">
            <w:rPr>
              <w:bdr w:val="none" w:sz="0" w:space="0" w:color="auto" w:frame="1"/>
            </w:rPr>
            <w:fldChar w:fldCharType="separate"/>
          </w:r>
          <w:r w:rsidR="00CE4424" w:rsidRPr="00CE4424">
            <w:rPr>
              <w:noProof/>
              <w:bdr w:val="none" w:sz="0" w:space="0" w:color="auto" w:frame="1"/>
              <w:lang w:val="ro-RO"/>
            </w:rPr>
            <w:t>(World Health Organization, 2020)</w:t>
          </w:r>
          <w:r w:rsidR="00D62516">
            <w:rPr>
              <w:bdr w:val="none" w:sz="0" w:space="0" w:color="auto" w:frame="1"/>
            </w:rPr>
            <w:fldChar w:fldCharType="end"/>
          </w:r>
        </w:sdtContent>
      </w:sdt>
    </w:p>
    <w:p w14:paraId="28E458E3" w14:textId="356E488E" w:rsidR="008A2ABB" w:rsidRDefault="008A2ABB" w:rsidP="008932DC">
      <w:pPr>
        <w:rPr>
          <w:bdr w:val="none" w:sz="0" w:space="0" w:color="auto" w:frame="1"/>
        </w:rPr>
      </w:pPr>
      <w:r>
        <w:rPr>
          <w:bdr w:val="none" w:sz="0" w:space="0" w:color="auto" w:frame="1"/>
        </w:rPr>
        <w:t xml:space="preserve">Fumatul produselor de tutun încălzit generează emisii care sunt inhalate de fumător , dar și emisii în aerul înconjurător. Înhalarea emisiilor produse de tutunul încălzit expune fumătorul la toxicele conținute de emisiile respective. Emisiile produselor de tutun încălzit în aerul înconjurător expun la fumat pasiv persoanele din mediul respectiv. </w:t>
      </w:r>
      <w:sdt>
        <w:sdtPr>
          <w:rPr>
            <w:bdr w:val="none" w:sz="0" w:space="0" w:color="auto" w:frame="1"/>
          </w:rPr>
          <w:id w:val="-60256096"/>
          <w:citation/>
        </w:sdtPr>
        <w:sdtContent>
          <w:r>
            <w:rPr>
              <w:bdr w:val="none" w:sz="0" w:space="0" w:color="auto" w:frame="1"/>
            </w:rPr>
            <w:fldChar w:fldCharType="begin"/>
          </w:r>
          <w:r>
            <w:rPr>
              <w:bdr w:val="none" w:sz="0" w:space="0" w:color="auto" w:frame="1"/>
              <w:lang w:val="ro-RO"/>
            </w:rPr>
            <w:instrText xml:space="preserve"> CITATION Worly \l 1048 </w:instrText>
          </w:r>
          <w:r>
            <w:rPr>
              <w:bdr w:val="none" w:sz="0" w:space="0" w:color="auto" w:frame="1"/>
            </w:rPr>
            <w:fldChar w:fldCharType="separate"/>
          </w:r>
          <w:r w:rsidR="00CE4424" w:rsidRPr="00CE4424">
            <w:rPr>
              <w:noProof/>
              <w:bdr w:val="none" w:sz="0" w:space="0" w:color="auto" w:frame="1"/>
              <w:lang w:val="ro-RO"/>
            </w:rPr>
            <w:t>(World Health Organization, 2021 July)</w:t>
          </w:r>
          <w:r>
            <w:rPr>
              <w:bdr w:val="none" w:sz="0" w:space="0" w:color="auto" w:frame="1"/>
            </w:rPr>
            <w:fldChar w:fldCharType="end"/>
          </w:r>
        </w:sdtContent>
      </w:sdt>
    </w:p>
    <w:p w14:paraId="1B8D2531" w14:textId="77777777" w:rsidR="000530B5" w:rsidRDefault="000530B5" w:rsidP="008932DC">
      <w:pPr>
        <w:rPr>
          <w:bdr w:val="none" w:sz="0" w:space="0" w:color="auto" w:frame="1"/>
        </w:rPr>
      </w:pPr>
    </w:p>
    <w:p w14:paraId="601E13AF" w14:textId="77777777" w:rsidR="000530B5" w:rsidRDefault="000530B5" w:rsidP="008932DC">
      <w:pPr>
        <w:rPr>
          <w:bdr w:val="none" w:sz="0" w:space="0" w:color="auto" w:frame="1"/>
        </w:rPr>
      </w:pPr>
    </w:p>
    <w:p w14:paraId="7CE5F8E9" w14:textId="77777777" w:rsidR="000530B5" w:rsidRDefault="000530B5" w:rsidP="008932DC">
      <w:pPr>
        <w:rPr>
          <w:bdr w:val="none" w:sz="0" w:space="0" w:color="auto" w:frame="1"/>
        </w:rPr>
      </w:pPr>
    </w:p>
    <w:p w14:paraId="1D8B08C5" w14:textId="77777777" w:rsidR="000530B5" w:rsidRDefault="000530B5" w:rsidP="008932DC">
      <w:pPr>
        <w:rPr>
          <w:bdr w:val="none" w:sz="0" w:space="0" w:color="auto" w:frame="1"/>
        </w:rPr>
      </w:pPr>
    </w:p>
    <w:p w14:paraId="79DC266F" w14:textId="77777777" w:rsidR="000530B5" w:rsidRDefault="000530B5" w:rsidP="008932DC">
      <w:pPr>
        <w:rPr>
          <w:bdr w:val="none" w:sz="0" w:space="0" w:color="auto" w:frame="1"/>
        </w:rPr>
      </w:pPr>
    </w:p>
    <w:p w14:paraId="0DBB6B5C" w14:textId="77777777" w:rsidR="000530B5" w:rsidRDefault="000530B5" w:rsidP="008932DC">
      <w:pPr>
        <w:rPr>
          <w:bdr w:val="none" w:sz="0" w:space="0" w:color="auto" w:frame="1"/>
        </w:rPr>
      </w:pPr>
    </w:p>
    <w:p w14:paraId="6A1265C9" w14:textId="77777777" w:rsidR="000530B5" w:rsidRDefault="000530B5" w:rsidP="008932DC">
      <w:pPr>
        <w:rPr>
          <w:bdr w:val="none" w:sz="0" w:space="0" w:color="auto" w:frame="1"/>
        </w:rPr>
      </w:pPr>
    </w:p>
    <w:p w14:paraId="17001C08" w14:textId="77777777" w:rsidR="000530B5" w:rsidRDefault="000530B5" w:rsidP="008932DC">
      <w:pPr>
        <w:rPr>
          <w:bdr w:val="none" w:sz="0" w:space="0" w:color="auto" w:frame="1"/>
        </w:rPr>
      </w:pPr>
    </w:p>
    <w:p w14:paraId="23294504" w14:textId="77777777" w:rsidR="000530B5" w:rsidRDefault="000530B5" w:rsidP="008932DC">
      <w:pPr>
        <w:rPr>
          <w:bdr w:val="none" w:sz="0" w:space="0" w:color="auto" w:frame="1"/>
        </w:rPr>
      </w:pPr>
    </w:p>
    <w:p w14:paraId="7A4011DB" w14:textId="77777777" w:rsidR="000530B5" w:rsidRDefault="000530B5" w:rsidP="008932DC">
      <w:pPr>
        <w:rPr>
          <w:bdr w:val="none" w:sz="0" w:space="0" w:color="auto" w:frame="1"/>
        </w:rPr>
      </w:pPr>
    </w:p>
    <w:p w14:paraId="06F9EC2F" w14:textId="77777777" w:rsidR="000530B5" w:rsidRDefault="000530B5" w:rsidP="008932DC">
      <w:pPr>
        <w:rPr>
          <w:bdr w:val="none" w:sz="0" w:space="0" w:color="auto" w:frame="1"/>
        </w:rPr>
      </w:pPr>
    </w:p>
    <w:p w14:paraId="3CE670A9" w14:textId="77777777" w:rsidR="000530B5" w:rsidRDefault="000530B5" w:rsidP="008932DC">
      <w:pPr>
        <w:rPr>
          <w:bdr w:val="none" w:sz="0" w:space="0" w:color="auto" w:frame="1"/>
        </w:rPr>
      </w:pPr>
    </w:p>
    <w:p w14:paraId="2C942F7E" w14:textId="56DB82D2" w:rsidR="00BC10D9" w:rsidRPr="00BC10D9" w:rsidRDefault="00E6166A" w:rsidP="00BC10D9">
      <w:pPr>
        <w:pStyle w:val="Heading2"/>
        <w:numPr>
          <w:ilvl w:val="0"/>
          <w:numId w:val="6"/>
        </w:numPr>
        <w:rPr>
          <w:bdr w:val="none" w:sz="0" w:space="0" w:color="auto" w:frame="1"/>
        </w:rPr>
      </w:pPr>
      <w:bookmarkStart w:id="9" w:name="_Toc132812355"/>
      <w:r w:rsidRPr="00BC10D9">
        <w:rPr>
          <w:bdr w:val="none" w:sz="0" w:space="0" w:color="auto" w:frame="1"/>
        </w:rPr>
        <w:lastRenderedPageBreak/>
        <w:t>Consumul de tutun</w:t>
      </w:r>
      <w:r w:rsidR="007D574D">
        <w:rPr>
          <w:bdr w:val="none" w:sz="0" w:space="0" w:color="auto" w:frame="1"/>
        </w:rPr>
        <w:t xml:space="preserve"> </w:t>
      </w:r>
      <w:r w:rsidRPr="00BC10D9">
        <w:rPr>
          <w:bdr w:val="none" w:sz="0" w:space="0" w:color="auto" w:frame="1"/>
        </w:rPr>
        <w:t>- impact asupra stării de sănătate la nivel popula</w:t>
      </w:r>
      <w:r w:rsidR="007D574D">
        <w:rPr>
          <w:bdr w:val="none" w:sz="0" w:space="0" w:color="auto" w:frame="1"/>
        </w:rPr>
        <w:t>ț</w:t>
      </w:r>
      <w:r w:rsidRPr="00BC10D9">
        <w:rPr>
          <w:bdr w:val="none" w:sz="0" w:space="0" w:color="auto" w:frame="1"/>
        </w:rPr>
        <w:t>ional</w:t>
      </w:r>
      <w:bookmarkEnd w:id="9"/>
      <w:r w:rsidR="00BC10D9" w:rsidRPr="00BC10D9">
        <w:rPr>
          <w:bdr w:val="none" w:sz="0" w:space="0" w:color="auto" w:frame="1"/>
        </w:rPr>
        <w:t xml:space="preserve"> </w:t>
      </w:r>
    </w:p>
    <w:p w14:paraId="1B465933" w14:textId="77777777" w:rsidR="0068097E" w:rsidRDefault="0068097E" w:rsidP="0068097E">
      <w:pPr>
        <w:pStyle w:val="Heading3"/>
      </w:pPr>
      <w:bookmarkStart w:id="10" w:name="_Toc132812356"/>
      <w:r>
        <w:t>Mobiditate și mortalitate atribuibilă fumatului</w:t>
      </w:r>
      <w:bookmarkEnd w:id="10"/>
    </w:p>
    <w:p w14:paraId="2577B018" w14:textId="5699FF59" w:rsidR="00F45F82" w:rsidRDefault="00F45F82" w:rsidP="007D574D">
      <w:r>
        <w:t>Fumatul este factor de risc pentru patru grupe de boli netransmisibile: cancerul, bolile cardiovasculare, diabetul și bolile respiratorii.</w:t>
      </w:r>
      <w:sdt>
        <w:sdtPr>
          <w:id w:val="-550299126"/>
          <w:citation/>
        </w:sdtPr>
        <w:sdtContent>
          <w:r>
            <w:fldChar w:fldCharType="begin"/>
          </w:r>
          <w:r w:rsidRPr="00F45F82">
            <w:rPr>
              <w:lang w:val="ro-RO"/>
            </w:rPr>
            <w:instrText xml:space="preserve"> CITATION Wor19 \l 1048 </w:instrText>
          </w:r>
          <w:r>
            <w:fldChar w:fldCharType="separate"/>
          </w:r>
          <w:r w:rsidR="00CE4424">
            <w:rPr>
              <w:noProof/>
              <w:lang w:val="ro-RO"/>
            </w:rPr>
            <w:t xml:space="preserve"> (World Health Organization -Regional Office for Europe, 2019)</w:t>
          </w:r>
          <w:r>
            <w:fldChar w:fldCharType="end"/>
          </w:r>
        </w:sdtContent>
      </w:sdt>
    </w:p>
    <w:p w14:paraId="4B4DE1DB" w14:textId="7A13B03B" w:rsidR="00A10E2D" w:rsidRDefault="005C0050" w:rsidP="007D574D">
      <w:r w:rsidRPr="0009222B">
        <w:t xml:space="preserve">Decesele cauzate de boli </w:t>
      </w:r>
      <w:r w:rsidR="00F45F82">
        <w:t>cardio-vasculare</w:t>
      </w:r>
      <w:r w:rsidRPr="0009222B">
        <w:t xml:space="preserve"> și accident vascular cerebral</w:t>
      </w:r>
      <w:r w:rsidR="00F45F82">
        <w:t xml:space="preserve"> reprezint</w:t>
      </w:r>
      <w:r w:rsidR="00F45F82">
        <w:rPr>
          <w:lang w:val="ro-RO"/>
        </w:rPr>
        <w:t>ă</w:t>
      </w:r>
      <w:r w:rsidRPr="0009222B">
        <w:t xml:space="preserve"> cauz</w:t>
      </w:r>
      <w:r w:rsidR="00F45F82">
        <w:t>a</w:t>
      </w:r>
      <w:r w:rsidRPr="0009222B">
        <w:t xml:space="preserve"> principal</w:t>
      </w:r>
      <w:r w:rsidR="00F45F82">
        <w:t>ă</w:t>
      </w:r>
      <w:r w:rsidRPr="0009222B">
        <w:t xml:space="preserve"> de deces în lume, fiind strâns legate de consumul de tutun.</w:t>
      </w:r>
      <w:r w:rsidR="00A10E2D">
        <w:t xml:space="preserve"> </w:t>
      </w:r>
      <w:r w:rsidRPr="0009222B">
        <w:t>Mai mult, cancerul pulmonar a fost mult timp principala cauză de deces prin cancer în rândul bărbaților și, în multe țări, este acum și principala cauză de deces prin cancer în rândul femeilor adulte, depășind chiar și cancerul de sân.</w:t>
      </w:r>
    </w:p>
    <w:p w14:paraId="1F90DBB7" w14:textId="77580492" w:rsidR="005C0050" w:rsidRDefault="005C0050" w:rsidP="007D574D">
      <w:r w:rsidRPr="0009222B">
        <w:t>Boala pulmonară obstructivă cronică (BPOC) este una dintre principalele cauze de deces din lume, iar mortalitatea din această cauză este în creștere în majoritatea țărilor. La nivel global, 65% din toate decesele cauzate de BPOC sunt atribuite consumului de tutun.</w:t>
      </w:r>
    </w:p>
    <w:p w14:paraId="4BDB83DD" w14:textId="112FF2F6" w:rsidR="007D574D" w:rsidRDefault="007D574D" w:rsidP="007D574D">
      <w:r w:rsidRPr="007D574D">
        <w:t xml:space="preserve">Estimările Organizației Mondiale a Sănătății privind proporţia </w:t>
      </w:r>
      <w:r w:rsidR="0068097E">
        <w:t xml:space="preserve">îmbolnăvirilor și </w:t>
      </w:r>
      <w:r w:rsidRPr="007D574D">
        <w:t xml:space="preserve">deceselor atribuibile fumatului, în cazul bolilor prezentate mai jos, arată cât de mult din proporția </w:t>
      </w:r>
      <w:r w:rsidR="0068097E">
        <w:t xml:space="preserve">de îmbolnăviri și decese </w:t>
      </w:r>
      <w:r w:rsidRPr="007D574D">
        <w:t xml:space="preserve">pentru fiecare boală ar putea fi redusă dacă </w:t>
      </w:r>
      <w:r w:rsidR="0068097E" w:rsidRPr="007D574D">
        <w:t xml:space="preserve">ar fi eliminat </w:t>
      </w:r>
      <w:r w:rsidRPr="007D574D">
        <w:t>consumul de tutun.</w:t>
      </w:r>
      <w:r>
        <w:t xml:space="preserve"> </w:t>
      </w:r>
      <w:sdt>
        <w:sdtPr>
          <w:id w:val="277768968"/>
          <w:citation/>
        </w:sdtPr>
        <w:sdtContent>
          <w:r>
            <w:fldChar w:fldCharType="begin"/>
          </w:r>
          <w:r>
            <w:rPr>
              <w:lang w:val="ro-RO"/>
            </w:rPr>
            <w:instrText xml:space="preserve"> CITATION Wor19 \l 1048 </w:instrText>
          </w:r>
          <w:r>
            <w:fldChar w:fldCharType="separate"/>
          </w:r>
          <w:r w:rsidR="00CE4424">
            <w:rPr>
              <w:noProof/>
              <w:lang w:val="ro-RO"/>
            </w:rPr>
            <w:t>(World Health Organization -Regional Office for Europe, 2019)</w:t>
          </w:r>
          <w:r>
            <w:fldChar w:fldCharType="end"/>
          </w:r>
        </w:sdtContent>
      </w:sdt>
    </w:p>
    <w:p w14:paraId="3F5E933F" w14:textId="77777777" w:rsidR="007D574D" w:rsidRPr="007D574D" w:rsidRDefault="007D574D" w:rsidP="007D574D">
      <w:pPr>
        <w:spacing w:before="100" w:beforeAutospacing="1" w:after="100" w:afterAutospacing="1"/>
        <w:contextualSpacing/>
        <w:rPr>
          <w:kern w:val="24"/>
          <w:lang w:val="ro-RO"/>
        </w:rPr>
      </w:pPr>
      <w:r w:rsidRPr="007D574D">
        <w:rPr>
          <w:kern w:val="24"/>
          <w:lang w:val="ro-RO"/>
        </w:rPr>
        <w:t>Tab.1 Ponderea îmbolnăvirilor şi ratele de mortalitate atribuibile fumatului în Regiunea Europeană OMS</w:t>
      </w:r>
    </w:p>
    <w:p w14:paraId="2A43A930" w14:textId="77777777" w:rsidR="007D574D" w:rsidRDefault="007D574D" w:rsidP="007D574D">
      <w:pPr>
        <w:spacing w:before="100" w:beforeAutospacing="1" w:after="100" w:afterAutospacing="1"/>
        <w:contextualSpacing/>
        <w:rPr>
          <w:rFonts w:eastAsia="Calibri"/>
          <w:kern w:val="24"/>
          <w:sz w:val="18"/>
          <w:szCs w:val="18"/>
          <w:lang w:val="ro-RO"/>
        </w:rPr>
      </w:pPr>
      <w:r w:rsidRPr="007D574D">
        <w:rPr>
          <w:rFonts w:eastAsia="Calibri"/>
          <w:kern w:val="24"/>
          <w:sz w:val="18"/>
          <w:szCs w:val="18"/>
          <w:lang w:val="ro-RO"/>
        </w:rPr>
        <w:t>* Mortalitate standardizată cu vârsta rate la 100000</w:t>
      </w:r>
    </w:p>
    <w:p w14:paraId="10D896CE" w14:textId="77777777" w:rsidR="000530B5" w:rsidRPr="007D574D" w:rsidRDefault="000530B5" w:rsidP="007D574D">
      <w:pPr>
        <w:spacing w:before="100" w:beforeAutospacing="1" w:after="100" w:afterAutospacing="1"/>
        <w:contextualSpacing/>
        <w:rPr>
          <w:b/>
          <w:kern w:val="24"/>
          <w:sz w:val="18"/>
          <w:szCs w:val="1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615"/>
        <w:gridCol w:w="1502"/>
        <w:gridCol w:w="1353"/>
        <w:gridCol w:w="1764"/>
      </w:tblGrid>
      <w:tr w:rsidR="007D574D" w:rsidRPr="007D574D" w14:paraId="6EBA60FC" w14:textId="77777777" w:rsidTr="00D23FBE">
        <w:trPr>
          <w:jc w:val="center"/>
        </w:trPr>
        <w:tc>
          <w:tcPr>
            <w:tcW w:w="3116" w:type="dxa"/>
            <w:shd w:val="clear" w:color="auto" w:fill="auto"/>
          </w:tcPr>
          <w:p w14:paraId="00BE4CFD" w14:textId="77777777" w:rsidR="007D574D" w:rsidRPr="007D574D" w:rsidRDefault="007D574D" w:rsidP="003D5CD7">
            <w:pPr>
              <w:spacing w:before="100" w:beforeAutospacing="1" w:after="100" w:afterAutospacing="1"/>
              <w:contextualSpacing/>
              <w:jc w:val="center"/>
              <w:rPr>
                <w:rFonts w:eastAsia="Calibri"/>
              </w:rPr>
            </w:pPr>
          </w:p>
        </w:tc>
        <w:tc>
          <w:tcPr>
            <w:tcW w:w="3117" w:type="dxa"/>
            <w:gridSpan w:val="2"/>
            <w:shd w:val="clear" w:color="auto" w:fill="auto"/>
          </w:tcPr>
          <w:p w14:paraId="1F9C4261" w14:textId="77777777" w:rsidR="007D574D" w:rsidRPr="007D574D" w:rsidRDefault="007D574D" w:rsidP="003D5CD7">
            <w:pPr>
              <w:spacing w:before="100" w:beforeAutospacing="1" w:after="100" w:afterAutospacing="1"/>
              <w:contextualSpacing/>
              <w:jc w:val="center"/>
              <w:rPr>
                <w:rFonts w:eastAsia="Calibri"/>
                <w:b/>
                <w:bCs/>
              </w:rPr>
            </w:pPr>
            <w:r w:rsidRPr="007D574D">
              <w:rPr>
                <w:rFonts w:eastAsia="Calibri"/>
                <w:b/>
                <w:bCs/>
              </w:rPr>
              <w:t>Morbiditate (%)</w:t>
            </w:r>
          </w:p>
        </w:tc>
        <w:tc>
          <w:tcPr>
            <w:tcW w:w="3117" w:type="dxa"/>
            <w:gridSpan w:val="2"/>
            <w:shd w:val="clear" w:color="auto" w:fill="auto"/>
          </w:tcPr>
          <w:p w14:paraId="48AB4D1E" w14:textId="77777777" w:rsidR="007D574D" w:rsidRPr="007D574D" w:rsidRDefault="007D574D" w:rsidP="003D5CD7">
            <w:pPr>
              <w:spacing w:before="100" w:beforeAutospacing="1" w:after="100" w:afterAutospacing="1"/>
              <w:contextualSpacing/>
              <w:jc w:val="center"/>
              <w:rPr>
                <w:rFonts w:eastAsia="Calibri"/>
                <w:b/>
                <w:bCs/>
              </w:rPr>
            </w:pPr>
            <w:r w:rsidRPr="007D574D">
              <w:rPr>
                <w:rFonts w:eastAsia="Calibri"/>
                <w:b/>
                <w:bCs/>
              </w:rPr>
              <w:t>Mortalitate * (rate)</w:t>
            </w:r>
          </w:p>
        </w:tc>
      </w:tr>
      <w:tr w:rsidR="007D574D" w:rsidRPr="007D574D" w14:paraId="701DC4CA" w14:textId="77777777" w:rsidTr="00D23FBE">
        <w:trPr>
          <w:jc w:val="center"/>
        </w:trPr>
        <w:tc>
          <w:tcPr>
            <w:tcW w:w="3116" w:type="dxa"/>
            <w:shd w:val="clear" w:color="auto" w:fill="auto"/>
          </w:tcPr>
          <w:p w14:paraId="7F27870C" w14:textId="77777777" w:rsidR="007D574D" w:rsidRPr="007D574D" w:rsidRDefault="007D574D" w:rsidP="003D5CD7">
            <w:pPr>
              <w:spacing w:before="100" w:beforeAutospacing="1" w:after="100" w:afterAutospacing="1"/>
              <w:contextualSpacing/>
              <w:jc w:val="center"/>
              <w:rPr>
                <w:rFonts w:eastAsia="Calibri"/>
              </w:rPr>
            </w:pPr>
          </w:p>
        </w:tc>
        <w:tc>
          <w:tcPr>
            <w:tcW w:w="1615" w:type="dxa"/>
            <w:shd w:val="clear" w:color="auto" w:fill="auto"/>
          </w:tcPr>
          <w:p w14:paraId="2A74DFF5" w14:textId="0C7A20E1" w:rsidR="007D574D" w:rsidRPr="007D574D" w:rsidRDefault="007D574D" w:rsidP="003D5CD7">
            <w:pPr>
              <w:spacing w:before="100" w:beforeAutospacing="1" w:after="100" w:afterAutospacing="1"/>
              <w:contextualSpacing/>
              <w:jc w:val="center"/>
              <w:rPr>
                <w:rFonts w:eastAsia="Calibri"/>
              </w:rPr>
            </w:pPr>
            <w:r w:rsidRPr="007D574D">
              <w:rPr>
                <w:rFonts w:eastAsia="Calibri"/>
              </w:rPr>
              <w:t>B</w:t>
            </w:r>
            <w:r>
              <w:rPr>
                <w:rFonts w:eastAsia="Calibri"/>
              </w:rPr>
              <w:t>ă</w:t>
            </w:r>
            <w:r w:rsidRPr="007D574D">
              <w:rPr>
                <w:rFonts w:eastAsia="Calibri"/>
              </w:rPr>
              <w:t>rba</w:t>
            </w:r>
            <w:r>
              <w:rPr>
                <w:rFonts w:eastAsia="Calibri"/>
              </w:rPr>
              <w:t>ți</w:t>
            </w:r>
          </w:p>
        </w:tc>
        <w:tc>
          <w:tcPr>
            <w:tcW w:w="1502" w:type="dxa"/>
            <w:shd w:val="clear" w:color="auto" w:fill="auto"/>
          </w:tcPr>
          <w:p w14:paraId="60C07293" w14:textId="77777777" w:rsidR="007D574D" w:rsidRPr="007D574D" w:rsidRDefault="007D574D" w:rsidP="003D5CD7">
            <w:pPr>
              <w:spacing w:before="100" w:beforeAutospacing="1" w:after="100" w:afterAutospacing="1"/>
              <w:contextualSpacing/>
              <w:jc w:val="center"/>
              <w:rPr>
                <w:rFonts w:eastAsia="Calibri"/>
              </w:rPr>
            </w:pPr>
            <w:r w:rsidRPr="007D574D">
              <w:rPr>
                <w:rFonts w:eastAsia="Calibri"/>
              </w:rPr>
              <w:t>Femei</w:t>
            </w:r>
          </w:p>
        </w:tc>
        <w:tc>
          <w:tcPr>
            <w:tcW w:w="1353" w:type="dxa"/>
            <w:shd w:val="clear" w:color="auto" w:fill="auto"/>
          </w:tcPr>
          <w:p w14:paraId="51F8508F" w14:textId="6F3AB3CD" w:rsidR="007D574D" w:rsidRPr="007D574D" w:rsidRDefault="007D574D" w:rsidP="003D5CD7">
            <w:pPr>
              <w:spacing w:before="100" w:beforeAutospacing="1" w:after="100" w:afterAutospacing="1"/>
              <w:contextualSpacing/>
              <w:jc w:val="center"/>
              <w:rPr>
                <w:rFonts w:eastAsia="Calibri"/>
              </w:rPr>
            </w:pPr>
            <w:r w:rsidRPr="007D574D">
              <w:rPr>
                <w:rFonts w:eastAsia="Calibri"/>
              </w:rPr>
              <w:t>B</w:t>
            </w:r>
            <w:r>
              <w:rPr>
                <w:rFonts w:eastAsia="Calibri"/>
              </w:rPr>
              <w:t>ă</w:t>
            </w:r>
            <w:r w:rsidRPr="007D574D">
              <w:rPr>
                <w:rFonts w:eastAsia="Calibri"/>
              </w:rPr>
              <w:t>rba</w:t>
            </w:r>
            <w:r>
              <w:rPr>
                <w:rFonts w:eastAsia="Calibri"/>
              </w:rPr>
              <w:t>ț</w:t>
            </w:r>
            <w:r w:rsidRPr="007D574D">
              <w:rPr>
                <w:rFonts w:eastAsia="Calibri"/>
              </w:rPr>
              <w:t>i</w:t>
            </w:r>
          </w:p>
        </w:tc>
        <w:tc>
          <w:tcPr>
            <w:tcW w:w="1764" w:type="dxa"/>
            <w:shd w:val="clear" w:color="auto" w:fill="auto"/>
          </w:tcPr>
          <w:p w14:paraId="3E377203" w14:textId="77777777" w:rsidR="007D574D" w:rsidRPr="007D574D" w:rsidRDefault="007D574D" w:rsidP="003D5CD7">
            <w:pPr>
              <w:spacing w:before="100" w:beforeAutospacing="1" w:after="100" w:afterAutospacing="1"/>
              <w:contextualSpacing/>
              <w:jc w:val="center"/>
              <w:rPr>
                <w:rFonts w:eastAsia="Calibri"/>
              </w:rPr>
            </w:pPr>
            <w:r w:rsidRPr="007D574D">
              <w:rPr>
                <w:rFonts w:eastAsia="Calibri"/>
              </w:rPr>
              <w:t>Femei</w:t>
            </w:r>
          </w:p>
        </w:tc>
      </w:tr>
      <w:tr w:rsidR="007D574D" w:rsidRPr="007D574D" w14:paraId="6DA0F96E" w14:textId="77777777" w:rsidTr="00D23FBE">
        <w:trPr>
          <w:jc w:val="center"/>
        </w:trPr>
        <w:tc>
          <w:tcPr>
            <w:tcW w:w="3116" w:type="dxa"/>
            <w:shd w:val="clear" w:color="auto" w:fill="auto"/>
          </w:tcPr>
          <w:p w14:paraId="41136235" w14:textId="77777777" w:rsidR="007D574D" w:rsidRPr="007D574D" w:rsidRDefault="007D574D" w:rsidP="003D5CD7">
            <w:pPr>
              <w:spacing w:before="100" w:beforeAutospacing="1" w:after="100" w:afterAutospacing="1"/>
              <w:contextualSpacing/>
              <w:jc w:val="center"/>
              <w:rPr>
                <w:rFonts w:eastAsia="Calibri"/>
                <w:b/>
                <w:bCs/>
              </w:rPr>
            </w:pPr>
            <w:r w:rsidRPr="007D574D">
              <w:rPr>
                <w:rFonts w:eastAsia="Calibri"/>
                <w:b/>
                <w:bCs/>
              </w:rPr>
              <w:t>Boli cronice netransmisibile (BNT)</w:t>
            </w:r>
          </w:p>
        </w:tc>
        <w:tc>
          <w:tcPr>
            <w:tcW w:w="1615" w:type="dxa"/>
            <w:shd w:val="clear" w:color="auto" w:fill="auto"/>
          </w:tcPr>
          <w:p w14:paraId="1FAB6997" w14:textId="77777777" w:rsidR="007D574D" w:rsidRPr="007D574D" w:rsidRDefault="007D574D" w:rsidP="003D5CD7">
            <w:pPr>
              <w:spacing w:before="100" w:beforeAutospacing="1" w:after="100" w:afterAutospacing="1"/>
              <w:contextualSpacing/>
              <w:jc w:val="center"/>
              <w:rPr>
                <w:rFonts w:eastAsia="Calibri"/>
                <w:b/>
                <w:bCs/>
              </w:rPr>
            </w:pPr>
            <w:r w:rsidRPr="007D574D">
              <w:rPr>
                <w:rFonts w:eastAsia="Calibri"/>
                <w:b/>
                <w:bCs/>
              </w:rPr>
              <w:t>28</w:t>
            </w:r>
          </w:p>
        </w:tc>
        <w:tc>
          <w:tcPr>
            <w:tcW w:w="1502" w:type="dxa"/>
            <w:shd w:val="clear" w:color="auto" w:fill="auto"/>
          </w:tcPr>
          <w:p w14:paraId="0DFE93A2" w14:textId="77777777" w:rsidR="007D574D" w:rsidRPr="007D574D" w:rsidRDefault="007D574D" w:rsidP="003D5CD7">
            <w:pPr>
              <w:spacing w:before="100" w:beforeAutospacing="1" w:after="100" w:afterAutospacing="1"/>
              <w:contextualSpacing/>
              <w:jc w:val="center"/>
              <w:rPr>
                <w:rFonts w:eastAsia="Calibri"/>
                <w:b/>
                <w:bCs/>
              </w:rPr>
            </w:pPr>
            <w:r w:rsidRPr="007D574D">
              <w:rPr>
                <w:rFonts w:eastAsia="Calibri"/>
                <w:b/>
                <w:bCs/>
              </w:rPr>
              <w:t>7</w:t>
            </w:r>
          </w:p>
        </w:tc>
        <w:tc>
          <w:tcPr>
            <w:tcW w:w="1353" w:type="dxa"/>
            <w:shd w:val="clear" w:color="auto" w:fill="auto"/>
          </w:tcPr>
          <w:p w14:paraId="7A727627" w14:textId="77777777" w:rsidR="007D574D" w:rsidRPr="007D574D" w:rsidRDefault="007D574D" w:rsidP="003D5CD7">
            <w:pPr>
              <w:spacing w:before="100" w:beforeAutospacing="1" w:after="100" w:afterAutospacing="1"/>
              <w:contextualSpacing/>
              <w:jc w:val="center"/>
              <w:rPr>
                <w:rFonts w:eastAsia="Calibri"/>
                <w:b/>
                <w:bCs/>
              </w:rPr>
            </w:pPr>
          </w:p>
        </w:tc>
        <w:tc>
          <w:tcPr>
            <w:tcW w:w="1764" w:type="dxa"/>
            <w:shd w:val="clear" w:color="auto" w:fill="auto"/>
          </w:tcPr>
          <w:p w14:paraId="142BC13D" w14:textId="77777777" w:rsidR="007D574D" w:rsidRPr="007D574D" w:rsidRDefault="007D574D" w:rsidP="003D5CD7">
            <w:pPr>
              <w:spacing w:before="100" w:beforeAutospacing="1" w:after="100" w:afterAutospacing="1"/>
              <w:contextualSpacing/>
              <w:jc w:val="center"/>
              <w:rPr>
                <w:rFonts w:eastAsia="Calibri"/>
                <w:b/>
                <w:bCs/>
              </w:rPr>
            </w:pPr>
          </w:p>
        </w:tc>
      </w:tr>
      <w:tr w:rsidR="007D574D" w:rsidRPr="007D574D" w14:paraId="767014C9" w14:textId="77777777" w:rsidTr="00D23FBE">
        <w:trPr>
          <w:jc w:val="center"/>
        </w:trPr>
        <w:tc>
          <w:tcPr>
            <w:tcW w:w="3116" w:type="dxa"/>
            <w:shd w:val="clear" w:color="auto" w:fill="auto"/>
          </w:tcPr>
          <w:p w14:paraId="538DDA9C" w14:textId="77777777" w:rsidR="007D574D" w:rsidRPr="007D574D" w:rsidRDefault="007D574D" w:rsidP="007D574D">
            <w:pPr>
              <w:spacing w:before="100" w:beforeAutospacing="1" w:after="100" w:afterAutospacing="1"/>
              <w:contextualSpacing/>
              <w:jc w:val="left"/>
              <w:rPr>
                <w:rFonts w:eastAsia="Calibri"/>
              </w:rPr>
            </w:pPr>
            <w:r w:rsidRPr="007D574D">
              <w:rPr>
                <w:rFonts w:eastAsia="Calibri"/>
              </w:rPr>
              <w:t>Boli cardiovasculare</w:t>
            </w:r>
          </w:p>
        </w:tc>
        <w:tc>
          <w:tcPr>
            <w:tcW w:w="1615" w:type="dxa"/>
            <w:shd w:val="clear" w:color="auto" w:fill="auto"/>
          </w:tcPr>
          <w:p w14:paraId="04087103" w14:textId="77777777" w:rsidR="007D574D" w:rsidRPr="007D574D" w:rsidRDefault="007D574D" w:rsidP="003D5CD7">
            <w:pPr>
              <w:spacing w:before="100" w:beforeAutospacing="1" w:after="100" w:afterAutospacing="1"/>
              <w:contextualSpacing/>
              <w:jc w:val="center"/>
              <w:rPr>
                <w:rFonts w:eastAsia="Calibri"/>
              </w:rPr>
            </w:pPr>
            <w:r w:rsidRPr="007D574D">
              <w:rPr>
                <w:rFonts w:eastAsia="Calibri"/>
              </w:rPr>
              <w:t>25</w:t>
            </w:r>
          </w:p>
        </w:tc>
        <w:tc>
          <w:tcPr>
            <w:tcW w:w="1502" w:type="dxa"/>
            <w:shd w:val="clear" w:color="auto" w:fill="auto"/>
          </w:tcPr>
          <w:p w14:paraId="52E42780" w14:textId="77777777" w:rsidR="007D574D" w:rsidRPr="007D574D" w:rsidRDefault="007D574D" w:rsidP="003D5CD7">
            <w:pPr>
              <w:spacing w:before="100" w:beforeAutospacing="1" w:after="100" w:afterAutospacing="1"/>
              <w:contextualSpacing/>
              <w:jc w:val="center"/>
              <w:rPr>
                <w:rFonts w:eastAsia="Calibri"/>
              </w:rPr>
            </w:pPr>
            <w:r w:rsidRPr="007D574D">
              <w:rPr>
                <w:rFonts w:eastAsia="Calibri"/>
              </w:rPr>
              <w:t>6</w:t>
            </w:r>
          </w:p>
        </w:tc>
        <w:tc>
          <w:tcPr>
            <w:tcW w:w="1353" w:type="dxa"/>
            <w:shd w:val="clear" w:color="auto" w:fill="auto"/>
          </w:tcPr>
          <w:p w14:paraId="15CC482C" w14:textId="77777777" w:rsidR="007D574D" w:rsidRPr="007D574D" w:rsidRDefault="007D574D" w:rsidP="003D5CD7">
            <w:pPr>
              <w:spacing w:before="100" w:beforeAutospacing="1" w:after="100" w:afterAutospacing="1"/>
              <w:contextualSpacing/>
              <w:jc w:val="center"/>
              <w:rPr>
                <w:rFonts w:eastAsia="Calibri"/>
              </w:rPr>
            </w:pPr>
            <w:r w:rsidRPr="007D574D">
              <w:rPr>
                <w:rFonts w:eastAsia="Calibri"/>
              </w:rPr>
              <w:t>396,4</w:t>
            </w:r>
          </w:p>
        </w:tc>
        <w:tc>
          <w:tcPr>
            <w:tcW w:w="1764" w:type="dxa"/>
            <w:shd w:val="clear" w:color="auto" w:fill="auto"/>
          </w:tcPr>
          <w:p w14:paraId="58F97E53" w14:textId="77777777" w:rsidR="007D574D" w:rsidRPr="007D574D" w:rsidRDefault="007D574D" w:rsidP="003D5CD7">
            <w:pPr>
              <w:spacing w:before="100" w:beforeAutospacing="1" w:after="100" w:afterAutospacing="1"/>
              <w:contextualSpacing/>
              <w:jc w:val="center"/>
              <w:rPr>
                <w:rFonts w:eastAsia="Calibri"/>
              </w:rPr>
            </w:pPr>
            <w:r w:rsidRPr="007D574D">
              <w:rPr>
                <w:rFonts w:eastAsia="Calibri"/>
              </w:rPr>
              <w:t>253,8</w:t>
            </w:r>
          </w:p>
        </w:tc>
      </w:tr>
      <w:tr w:rsidR="007D574D" w:rsidRPr="007D574D" w14:paraId="532AB0AC" w14:textId="77777777" w:rsidTr="00D23FBE">
        <w:trPr>
          <w:jc w:val="center"/>
        </w:trPr>
        <w:tc>
          <w:tcPr>
            <w:tcW w:w="3116" w:type="dxa"/>
            <w:shd w:val="clear" w:color="auto" w:fill="auto"/>
          </w:tcPr>
          <w:p w14:paraId="44DA4CAB" w14:textId="77777777" w:rsidR="007D574D" w:rsidRPr="007D574D" w:rsidRDefault="007D574D" w:rsidP="007D574D">
            <w:pPr>
              <w:spacing w:before="100" w:beforeAutospacing="1" w:after="100" w:afterAutospacing="1"/>
              <w:contextualSpacing/>
              <w:jc w:val="left"/>
              <w:rPr>
                <w:rFonts w:eastAsia="Calibri"/>
              </w:rPr>
            </w:pPr>
            <w:r w:rsidRPr="007D574D">
              <w:rPr>
                <w:rFonts w:eastAsia="Calibri"/>
              </w:rPr>
              <w:t>Accident vascular cerebral</w:t>
            </w:r>
          </w:p>
        </w:tc>
        <w:tc>
          <w:tcPr>
            <w:tcW w:w="1615" w:type="dxa"/>
            <w:shd w:val="clear" w:color="auto" w:fill="auto"/>
          </w:tcPr>
          <w:p w14:paraId="05BC1A76" w14:textId="77777777" w:rsidR="007D574D" w:rsidRPr="007D574D" w:rsidRDefault="007D574D" w:rsidP="003D5CD7">
            <w:pPr>
              <w:spacing w:before="100" w:beforeAutospacing="1" w:after="100" w:afterAutospacing="1"/>
              <w:contextualSpacing/>
              <w:jc w:val="center"/>
              <w:rPr>
                <w:rFonts w:eastAsia="Calibri"/>
              </w:rPr>
            </w:pPr>
            <w:r w:rsidRPr="007D574D">
              <w:rPr>
                <w:rFonts w:eastAsia="Calibri"/>
              </w:rPr>
              <w:t>21</w:t>
            </w:r>
          </w:p>
        </w:tc>
        <w:tc>
          <w:tcPr>
            <w:tcW w:w="1502" w:type="dxa"/>
            <w:shd w:val="clear" w:color="auto" w:fill="auto"/>
          </w:tcPr>
          <w:p w14:paraId="1C4FC848" w14:textId="77777777" w:rsidR="007D574D" w:rsidRPr="007D574D" w:rsidRDefault="007D574D" w:rsidP="003D5CD7">
            <w:pPr>
              <w:spacing w:before="100" w:beforeAutospacing="1" w:after="100" w:afterAutospacing="1"/>
              <w:contextualSpacing/>
              <w:jc w:val="center"/>
              <w:rPr>
                <w:rFonts w:eastAsia="Calibri"/>
              </w:rPr>
            </w:pPr>
            <w:r w:rsidRPr="007D574D">
              <w:rPr>
                <w:rFonts w:eastAsia="Calibri"/>
              </w:rPr>
              <w:t>5</w:t>
            </w:r>
          </w:p>
        </w:tc>
        <w:tc>
          <w:tcPr>
            <w:tcW w:w="1353" w:type="dxa"/>
            <w:shd w:val="clear" w:color="auto" w:fill="auto"/>
          </w:tcPr>
          <w:p w14:paraId="3BC33A76" w14:textId="77777777" w:rsidR="007D574D" w:rsidRPr="007D574D" w:rsidRDefault="007D574D" w:rsidP="003D5CD7">
            <w:pPr>
              <w:spacing w:before="100" w:beforeAutospacing="1" w:after="100" w:afterAutospacing="1"/>
              <w:contextualSpacing/>
              <w:jc w:val="center"/>
              <w:rPr>
                <w:rFonts w:eastAsia="Calibri"/>
              </w:rPr>
            </w:pPr>
            <w:r w:rsidRPr="007D574D">
              <w:rPr>
                <w:rFonts w:eastAsia="Calibri"/>
              </w:rPr>
              <w:t>89,4</w:t>
            </w:r>
          </w:p>
        </w:tc>
        <w:tc>
          <w:tcPr>
            <w:tcW w:w="1764" w:type="dxa"/>
            <w:shd w:val="clear" w:color="auto" w:fill="auto"/>
          </w:tcPr>
          <w:p w14:paraId="4BA6A592" w14:textId="77777777" w:rsidR="007D574D" w:rsidRPr="007D574D" w:rsidRDefault="007D574D" w:rsidP="003D5CD7">
            <w:pPr>
              <w:spacing w:before="100" w:beforeAutospacing="1" w:after="100" w:afterAutospacing="1"/>
              <w:contextualSpacing/>
              <w:jc w:val="center"/>
              <w:rPr>
                <w:rFonts w:eastAsia="Calibri"/>
              </w:rPr>
            </w:pPr>
            <w:r w:rsidRPr="007D574D">
              <w:rPr>
                <w:rFonts w:eastAsia="Calibri"/>
              </w:rPr>
              <w:t>67,8</w:t>
            </w:r>
          </w:p>
        </w:tc>
      </w:tr>
      <w:tr w:rsidR="007D574D" w:rsidRPr="007D574D" w14:paraId="53B9AB1A" w14:textId="77777777" w:rsidTr="00D23FBE">
        <w:trPr>
          <w:jc w:val="center"/>
        </w:trPr>
        <w:tc>
          <w:tcPr>
            <w:tcW w:w="3116" w:type="dxa"/>
            <w:shd w:val="clear" w:color="auto" w:fill="auto"/>
          </w:tcPr>
          <w:p w14:paraId="27C8A023" w14:textId="77777777" w:rsidR="007D574D" w:rsidRPr="007D574D" w:rsidRDefault="007D574D" w:rsidP="007D574D">
            <w:pPr>
              <w:spacing w:before="100" w:beforeAutospacing="1" w:after="100" w:afterAutospacing="1"/>
              <w:jc w:val="left"/>
              <w:rPr>
                <w:rFonts w:eastAsia="Calibri"/>
                <w:kern w:val="24"/>
              </w:rPr>
            </w:pPr>
            <w:r w:rsidRPr="007D574D">
              <w:rPr>
                <w:rFonts w:eastAsia="Calibri"/>
                <w:kern w:val="24"/>
                <w:lang w:val="ro-RO"/>
              </w:rPr>
              <w:t>Infarct miocardic acut</w:t>
            </w:r>
          </w:p>
        </w:tc>
        <w:tc>
          <w:tcPr>
            <w:tcW w:w="1615" w:type="dxa"/>
            <w:shd w:val="clear" w:color="auto" w:fill="auto"/>
          </w:tcPr>
          <w:p w14:paraId="56B41689"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26</w:t>
            </w:r>
          </w:p>
        </w:tc>
        <w:tc>
          <w:tcPr>
            <w:tcW w:w="1502" w:type="dxa"/>
            <w:shd w:val="clear" w:color="auto" w:fill="auto"/>
          </w:tcPr>
          <w:p w14:paraId="55D16BF9"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6</w:t>
            </w:r>
          </w:p>
        </w:tc>
        <w:tc>
          <w:tcPr>
            <w:tcW w:w="1353" w:type="dxa"/>
            <w:shd w:val="clear" w:color="auto" w:fill="auto"/>
          </w:tcPr>
          <w:p w14:paraId="5E280001"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193,5</w:t>
            </w:r>
          </w:p>
        </w:tc>
        <w:tc>
          <w:tcPr>
            <w:tcW w:w="1764" w:type="dxa"/>
            <w:shd w:val="clear" w:color="auto" w:fill="auto"/>
          </w:tcPr>
          <w:p w14:paraId="3F950A51"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107</w:t>
            </w:r>
          </w:p>
        </w:tc>
      </w:tr>
      <w:tr w:rsidR="007D574D" w:rsidRPr="007D574D" w14:paraId="0F804E2A" w14:textId="77777777" w:rsidTr="00D23FBE">
        <w:trPr>
          <w:trHeight w:val="393"/>
          <w:jc w:val="center"/>
        </w:trPr>
        <w:tc>
          <w:tcPr>
            <w:tcW w:w="3116" w:type="dxa"/>
            <w:shd w:val="clear" w:color="auto" w:fill="auto"/>
          </w:tcPr>
          <w:p w14:paraId="14E5F0F2" w14:textId="77777777" w:rsidR="007D574D" w:rsidRPr="007D574D" w:rsidRDefault="007D574D" w:rsidP="007D574D">
            <w:pPr>
              <w:spacing w:before="100" w:beforeAutospacing="1" w:after="100" w:afterAutospacing="1"/>
              <w:jc w:val="left"/>
              <w:rPr>
                <w:kern w:val="24"/>
                <w:lang w:val="ro-RO"/>
              </w:rPr>
            </w:pPr>
            <w:r w:rsidRPr="007D574D">
              <w:rPr>
                <w:kern w:val="24"/>
                <w:lang w:val="ro-RO"/>
              </w:rPr>
              <w:t>Alte boli cardiovasculare</w:t>
            </w:r>
          </w:p>
        </w:tc>
        <w:tc>
          <w:tcPr>
            <w:tcW w:w="1615" w:type="dxa"/>
            <w:shd w:val="clear" w:color="auto" w:fill="auto"/>
          </w:tcPr>
          <w:p w14:paraId="545927FD" w14:textId="77777777" w:rsidR="007D574D" w:rsidRPr="007D574D" w:rsidRDefault="007D574D" w:rsidP="003D5CD7">
            <w:pPr>
              <w:spacing w:before="100" w:beforeAutospacing="1" w:after="100" w:afterAutospacing="1"/>
              <w:jc w:val="center"/>
              <w:rPr>
                <w:kern w:val="24"/>
                <w:lang w:val="ro-RO"/>
              </w:rPr>
            </w:pPr>
            <w:r w:rsidRPr="007D574D">
              <w:rPr>
                <w:kern w:val="24"/>
                <w:lang w:val="ro-RO"/>
              </w:rPr>
              <w:t>27</w:t>
            </w:r>
          </w:p>
        </w:tc>
        <w:tc>
          <w:tcPr>
            <w:tcW w:w="1502" w:type="dxa"/>
            <w:shd w:val="clear" w:color="auto" w:fill="auto"/>
          </w:tcPr>
          <w:p w14:paraId="7B5FF7F6" w14:textId="77777777" w:rsidR="007D574D" w:rsidRPr="007D574D" w:rsidRDefault="007D574D" w:rsidP="003D5CD7">
            <w:pPr>
              <w:spacing w:before="100" w:beforeAutospacing="1" w:after="100" w:afterAutospacing="1"/>
              <w:jc w:val="center"/>
              <w:rPr>
                <w:kern w:val="24"/>
                <w:lang w:val="ro-RO"/>
              </w:rPr>
            </w:pPr>
            <w:r w:rsidRPr="007D574D">
              <w:rPr>
                <w:kern w:val="24"/>
                <w:lang w:val="ro-RO"/>
              </w:rPr>
              <w:t>9</w:t>
            </w:r>
          </w:p>
        </w:tc>
        <w:tc>
          <w:tcPr>
            <w:tcW w:w="1353" w:type="dxa"/>
            <w:shd w:val="clear" w:color="auto" w:fill="auto"/>
          </w:tcPr>
          <w:p w14:paraId="2BB89D84" w14:textId="77777777" w:rsidR="007D574D" w:rsidRPr="007D574D" w:rsidRDefault="007D574D" w:rsidP="003D5CD7">
            <w:pPr>
              <w:spacing w:before="100" w:beforeAutospacing="1" w:after="100" w:afterAutospacing="1"/>
              <w:jc w:val="center"/>
              <w:rPr>
                <w:kern w:val="24"/>
                <w:lang w:val="ro-RO"/>
              </w:rPr>
            </w:pPr>
          </w:p>
        </w:tc>
        <w:tc>
          <w:tcPr>
            <w:tcW w:w="1764" w:type="dxa"/>
            <w:shd w:val="clear" w:color="auto" w:fill="auto"/>
          </w:tcPr>
          <w:p w14:paraId="647FA240" w14:textId="77777777" w:rsidR="007D574D" w:rsidRPr="007D574D" w:rsidRDefault="007D574D" w:rsidP="003D5CD7">
            <w:pPr>
              <w:spacing w:before="100" w:beforeAutospacing="1" w:after="100" w:afterAutospacing="1"/>
              <w:jc w:val="center"/>
              <w:rPr>
                <w:kern w:val="24"/>
                <w:lang w:val="ro-RO"/>
              </w:rPr>
            </w:pPr>
          </w:p>
        </w:tc>
      </w:tr>
      <w:tr w:rsidR="007D574D" w:rsidRPr="007D574D" w14:paraId="79A2D3D2" w14:textId="77777777" w:rsidTr="00D23FBE">
        <w:trPr>
          <w:trHeight w:val="393"/>
          <w:jc w:val="center"/>
        </w:trPr>
        <w:tc>
          <w:tcPr>
            <w:tcW w:w="3116" w:type="dxa"/>
            <w:shd w:val="clear" w:color="auto" w:fill="auto"/>
          </w:tcPr>
          <w:p w14:paraId="48435DBA" w14:textId="77777777" w:rsidR="007D574D" w:rsidRPr="007D574D" w:rsidRDefault="007D574D" w:rsidP="007D574D">
            <w:pPr>
              <w:spacing w:before="100" w:beforeAutospacing="1" w:after="100" w:afterAutospacing="1"/>
              <w:jc w:val="left"/>
              <w:rPr>
                <w:rFonts w:eastAsia="Calibri"/>
                <w:kern w:val="24"/>
              </w:rPr>
            </w:pPr>
            <w:r w:rsidRPr="007D574D">
              <w:rPr>
                <w:rFonts w:eastAsia="Calibri"/>
                <w:kern w:val="24"/>
                <w:lang w:val="ro-RO"/>
              </w:rPr>
              <w:t>Boli maligne</w:t>
            </w:r>
          </w:p>
        </w:tc>
        <w:tc>
          <w:tcPr>
            <w:tcW w:w="1615" w:type="dxa"/>
            <w:shd w:val="clear" w:color="auto" w:fill="auto"/>
          </w:tcPr>
          <w:p w14:paraId="5B6F7273"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41</w:t>
            </w:r>
          </w:p>
        </w:tc>
        <w:tc>
          <w:tcPr>
            <w:tcW w:w="1502" w:type="dxa"/>
            <w:shd w:val="clear" w:color="auto" w:fill="auto"/>
          </w:tcPr>
          <w:p w14:paraId="5D86835C"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10</w:t>
            </w:r>
          </w:p>
        </w:tc>
        <w:tc>
          <w:tcPr>
            <w:tcW w:w="1353" w:type="dxa"/>
            <w:shd w:val="clear" w:color="auto" w:fill="auto"/>
          </w:tcPr>
          <w:p w14:paraId="0C6A5B9C"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201,8</w:t>
            </w:r>
          </w:p>
        </w:tc>
        <w:tc>
          <w:tcPr>
            <w:tcW w:w="1764" w:type="dxa"/>
            <w:shd w:val="clear" w:color="auto" w:fill="auto"/>
          </w:tcPr>
          <w:p w14:paraId="67491476"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11,58</w:t>
            </w:r>
          </w:p>
        </w:tc>
      </w:tr>
      <w:tr w:rsidR="007D574D" w:rsidRPr="007D574D" w14:paraId="1FB58C2B" w14:textId="77777777" w:rsidTr="00D23FBE">
        <w:trPr>
          <w:trHeight w:val="393"/>
          <w:jc w:val="center"/>
        </w:trPr>
        <w:tc>
          <w:tcPr>
            <w:tcW w:w="3116" w:type="dxa"/>
            <w:shd w:val="clear" w:color="auto" w:fill="auto"/>
          </w:tcPr>
          <w:p w14:paraId="76A52123" w14:textId="77777777" w:rsidR="007D574D" w:rsidRPr="007D574D" w:rsidRDefault="007D574D" w:rsidP="007D574D">
            <w:pPr>
              <w:spacing w:before="100" w:beforeAutospacing="1" w:after="100" w:afterAutospacing="1"/>
              <w:jc w:val="left"/>
              <w:rPr>
                <w:rFonts w:eastAsia="Calibri"/>
                <w:kern w:val="24"/>
              </w:rPr>
            </w:pPr>
            <w:r w:rsidRPr="007D574D">
              <w:rPr>
                <w:rFonts w:eastAsia="Calibri"/>
                <w:kern w:val="24"/>
                <w:lang w:val="ro-RO"/>
              </w:rPr>
              <w:t>Cancer bronhopulmonar</w:t>
            </w:r>
          </w:p>
        </w:tc>
        <w:tc>
          <w:tcPr>
            <w:tcW w:w="1615" w:type="dxa"/>
            <w:shd w:val="clear" w:color="auto" w:fill="auto"/>
          </w:tcPr>
          <w:p w14:paraId="37F533AD"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92</w:t>
            </w:r>
          </w:p>
        </w:tc>
        <w:tc>
          <w:tcPr>
            <w:tcW w:w="1502" w:type="dxa"/>
            <w:shd w:val="clear" w:color="auto" w:fill="auto"/>
          </w:tcPr>
          <w:p w14:paraId="54CC4658"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62</w:t>
            </w:r>
          </w:p>
        </w:tc>
        <w:tc>
          <w:tcPr>
            <w:tcW w:w="1353" w:type="dxa"/>
            <w:shd w:val="clear" w:color="auto" w:fill="auto"/>
          </w:tcPr>
          <w:p w14:paraId="3BB37749"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53,3</w:t>
            </w:r>
          </w:p>
        </w:tc>
        <w:tc>
          <w:tcPr>
            <w:tcW w:w="1764" w:type="dxa"/>
            <w:shd w:val="clear" w:color="auto" w:fill="auto"/>
          </w:tcPr>
          <w:p w14:paraId="6EF3F2C6"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15,5</w:t>
            </w:r>
          </w:p>
        </w:tc>
      </w:tr>
      <w:tr w:rsidR="007D574D" w:rsidRPr="007D574D" w14:paraId="053902D7" w14:textId="77777777" w:rsidTr="00D23FBE">
        <w:trPr>
          <w:trHeight w:val="393"/>
          <w:jc w:val="center"/>
        </w:trPr>
        <w:tc>
          <w:tcPr>
            <w:tcW w:w="3116" w:type="dxa"/>
            <w:shd w:val="clear" w:color="auto" w:fill="auto"/>
          </w:tcPr>
          <w:p w14:paraId="12CF1960" w14:textId="77777777" w:rsidR="007D574D" w:rsidRPr="007D574D" w:rsidRDefault="007D574D" w:rsidP="007D574D">
            <w:pPr>
              <w:spacing w:before="100" w:beforeAutospacing="1" w:after="100" w:afterAutospacing="1"/>
              <w:jc w:val="left"/>
              <w:rPr>
                <w:rFonts w:eastAsia="Calibri"/>
                <w:kern w:val="24"/>
              </w:rPr>
            </w:pPr>
            <w:r w:rsidRPr="007D574D">
              <w:rPr>
                <w:rFonts w:eastAsia="Calibri"/>
                <w:kern w:val="24"/>
                <w:lang w:val="ro-RO"/>
              </w:rPr>
              <w:t>Boli respiratorii</w:t>
            </w:r>
          </w:p>
        </w:tc>
        <w:tc>
          <w:tcPr>
            <w:tcW w:w="1615" w:type="dxa"/>
            <w:shd w:val="clear" w:color="auto" w:fill="auto"/>
          </w:tcPr>
          <w:p w14:paraId="2E0D43DB"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63</w:t>
            </w:r>
          </w:p>
        </w:tc>
        <w:tc>
          <w:tcPr>
            <w:tcW w:w="1502" w:type="dxa"/>
            <w:shd w:val="clear" w:color="auto" w:fill="auto"/>
          </w:tcPr>
          <w:p w14:paraId="4DF0E314"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37</w:t>
            </w:r>
          </w:p>
        </w:tc>
        <w:tc>
          <w:tcPr>
            <w:tcW w:w="1353" w:type="dxa"/>
            <w:shd w:val="clear" w:color="auto" w:fill="auto"/>
          </w:tcPr>
          <w:p w14:paraId="2D444AC9"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67,5</w:t>
            </w:r>
          </w:p>
        </w:tc>
        <w:tc>
          <w:tcPr>
            <w:tcW w:w="1764" w:type="dxa"/>
            <w:shd w:val="clear" w:color="auto" w:fill="auto"/>
          </w:tcPr>
          <w:p w14:paraId="2FF5D6AA"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32,7</w:t>
            </w:r>
          </w:p>
        </w:tc>
      </w:tr>
      <w:tr w:rsidR="007D574D" w:rsidRPr="007D574D" w14:paraId="663731C2" w14:textId="77777777" w:rsidTr="00D23FBE">
        <w:trPr>
          <w:trHeight w:val="393"/>
          <w:jc w:val="center"/>
        </w:trPr>
        <w:tc>
          <w:tcPr>
            <w:tcW w:w="3116" w:type="dxa"/>
            <w:shd w:val="clear" w:color="auto" w:fill="auto"/>
          </w:tcPr>
          <w:p w14:paraId="772EA5BA" w14:textId="77777777" w:rsidR="007D574D" w:rsidRPr="007D574D" w:rsidRDefault="007D574D" w:rsidP="007D574D">
            <w:pPr>
              <w:spacing w:before="100" w:beforeAutospacing="1" w:after="100" w:afterAutospacing="1"/>
              <w:jc w:val="left"/>
              <w:rPr>
                <w:rFonts w:eastAsia="Calibri"/>
                <w:kern w:val="24"/>
              </w:rPr>
            </w:pPr>
            <w:r w:rsidRPr="007D574D">
              <w:rPr>
                <w:rFonts w:eastAsia="Calibri"/>
                <w:kern w:val="24"/>
                <w:lang w:val="ro-RO"/>
              </w:rPr>
              <w:t>BPOC</w:t>
            </w:r>
          </w:p>
        </w:tc>
        <w:tc>
          <w:tcPr>
            <w:tcW w:w="1615" w:type="dxa"/>
            <w:shd w:val="clear" w:color="auto" w:fill="auto"/>
          </w:tcPr>
          <w:p w14:paraId="5398D68B"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79</w:t>
            </w:r>
          </w:p>
        </w:tc>
        <w:tc>
          <w:tcPr>
            <w:tcW w:w="1502" w:type="dxa"/>
            <w:shd w:val="clear" w:color="auto" w:fill="auto"/>
          </w:tcPr>
          <w:p w14:paraId="296B63A5"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54</w:t>
            </w:r>
          </w:p>
        </w:tc>
        <w:tc>
          <w:tcPr>
            <w:tcW w:w="1353" w:type="dxa"/>
            <w:shd w:val="clear" w:color="auto" w:fill="auto"/>
          </w:tcPr>
          <w:p w14:paraId="17DA7FEB"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39,8</w:t>
            </w:r>
          </w:p>
        </w:tc>
        <w:tc>
          <w:tcPr>
            <w:tcW w:w="1764" w:type="dxa"/>
            <w:shd w:val="clear" w:color="auto" w:fill="auto"/>
          </w:tcPr>
          <w:p w14:paraId="346A1F15" w14:textId="77777777" w:rsidR="007D574D" w:rsidRPr="007D574D" w:rsidRDefault="007D574D" w:rsidP="003D5CD7">
            <w:pPr>
              <w:spacing w:before="100" w:beforeAutospacing="1" w:after="100" w:afterAutospacing="1"/>
              <w:jc w:val="center"/>
              <w:rPr>
                <w:rFonts w:eastAsia="Calibri"/>
                <w:kern w:val="24"/>
              </w:rPr>
            </w:pPr>
            <w:r w:rsidRPr="007D574D">
              <w:rPr>
                <w:rFonts w:eastAsia="Calibri"/>
                <w:kern w:val="24"/>
                <w:lang w:val="ro-RO"/>
              </w:rPr>
              <w:t>16,9</w:t>
            </w:r>
          </w:p>
        </w:tc>
      </w:tr>
      <w:tr w:rsidR="007D574D" w:rsidRPr="007D574D" w14:paraId="051743EE" w14:textId="77777777" w:rsidTr="00D23FBE">
        <w:trPr>
          <w:trHeight w:val="393"/>
          <w:jc w:val="center"/>
        </w:trPr>
        <w:tc>
          <w:tcPr>
            <w:tcW w:w="3116" w:type="dxa"/>
            <w:shd w:val="clear" w:color="auto" w:fill="auto"/>
          </w:tcPr>
          <w:p w14:paraId="6E7CC41A" w14:textId="77777777" w:rsidR="007D574D" w:rsidRPr="007D574D" w:rsidRDefault="007D574D" w:rsidP="003D5CD7">
            <w:pPr>
              <w:spacing w:before="100" w:beforeAutospacing="1" w:after="100" w:afterAutospacing="1"/>
              <w:jc w:val="center"/>
              <w:rPr>
                <w:rFonts w:eastAsia="Calibri"/>
                <w:b/>
                <w:bCs/>
                <w:kern w:val="24"/>
              </w:rPr>
            </w:pPr>
            <w:r w:rsidRPr="007D574D">
              <w:rPr>
                <w:b/>
                <w:bCs/>
                <w:kern w:val="24"/>
              </w:rPr>
              <w:t>Boli transmisibile</w:t>
            </w:r>
          </w:p>
        </w:tc>
        <w:tc>
          <w:tcPr>
            <w:tcW w:w="1615" w:type="dxa"/>
            <w:shd w:val="clear" w:color="auto" w:fill="auto"/>
          </w:tcPr>
          <w:p w14:paraId="437C177A" w14:textId="77777777" w:rsidR="007D574D" w:rsidRPr="007D574D" w:rsidRDefault="007D574D" w:rsidP="003D5CD7">
            <w:pPr>
              <w:spacing w:before="100" w:beforeAutospacing="1" w:after="100" w:afterAutospacing="1"/>
              <w:jc w:val="center"/>
              <w:rPr>
                <w:rFonts w:eastAsia="Calibri"/>
                <w:b/>
                <w:bCs/>
                <w:kern w:val="24"/>
              </w:rPr>
            </w:pPr>
            <w:r w:rsidRPr="007D574D">
              <w:rPr>
                <w:b/>
                <w:bCs/>
                <w:kern w:val="24"/>
              </w:rPr>
              <w:t>23</w:t>
            </w:r>
          </w:p>
        </w:tc>
        <w:tc>
          <w:tcPr>
            <w:tcW w:w="1502" w:type="dxa"/>
            <w:shd w:val="clear" w:color="auto" w:fill="auto"/>
          </w:tcPr>
          <w:p w14:paraId="0A9D6AE1" w14:textId="77777777" w:rsidR="007D574D" w:rsidRPr="007D574D" w:rsidRDefault="007D574D" w:rsidP="003D5CD7">
            <w:pPr>
              <w:spacing w:before="100" w:beforeAutospacing="1" w:after="100" w:afterAutospacing="1"/>
              <w:jc w:val="center"/>
              <w:rPr>
                <w:rFonts w:eastAsia="Calibri"/>
                <w:b/>
                <w:bCs/>
                <w:kern w:val="24"/>
              </w:rPr>
            </w:pPr>
            <w:r w:rsidRPr="007D574D">
              <w:rPr>
                <w:b/>
                <w:bCs/>
                <w:kern w:val="24"/>
              </w:rPr>
              <w:t>12</w:t>
            </w:r>
          </w:p>
        </w:tc>
        <w:tc>
          <w:tcPr>
            <w:tcW w:w="1353" w:type="dxa"/>
            <w:shd w:val="clear" w:color="auto" w:fill="auto"/>
          </w:tcPr>
          <w:p w14:paraId="5419FF1F" w14:textId="77777777" w:rsidR="007D574D" w:rsidRPr="007D574D" w:rsidRDefault="007D574D" w:rsidP="003D5CD7">
            <w:pPr>
              <w:spacing w:before="100" w:beforeAutospacing="1" w:after="100" w:afterAutospacing="1"/>
              <w:jc w:val="center"/>
              <w:rPr>
                <w:rFonts w:eastAsia="Calibri"/>
                <w:b/>
                <w:bCs/>
                <w:kern w:val="24"/>
              </w:rPr>
            </w:pPr>
            <w:r w:rsidRPr="007D574D">
              <w:rPr>
                <w:b/>
                <w:bCs/>
                <w:kern w:val="24"/>
              </w:rPr>
              <w:t>16,6</w:t>
            </w:r>
          </w:p>
        </w:tc>
        <w:tc>
          <w:tcPr>
            <w:tcW w:w="1764" w:type="dxa"/>
            <w:shd w:val="clear" w:color="auto" w:fill="auto"/>
          </w:tcPr>
          <w:p w14:paraId="045D29BF" w14:textId="77777777" w:rsidR="007D574D" w:rsidRPr="007D574D" w:rsidRDefault="007D574D" w:rsidP="003D5CD7">
            <w:pPr>
              <w:spacing w:before="100" w:beforeAutospacing="1" w:after="100" w:afterAutospacing="1"/>
              <w:jc w:val="center"/>
              <w:rPr>
                <w:rFonts w:eastAsia="Calibri"/>
                <w:b/>
                <w:bCs/>
                <w:kern w:val="24"/>
              </w:rPr>
            </w:pPr>
            <w:r w:rsidRPr="007D574D">
              <w:rPr>
                <w:b/>
                <w:bCs/>
                <w:kern w:val="24"/>
              </w:rPr>
              <w:t>8,5</w:t>
            </w:r>
          </w:p>
        </w:tc>
      </w:tr>
      <w:tr w:rsidR="007D574D" w:rsidRPr="007D574D" w14:paraId="1258E5C6" w14:textId="77777777" w:rsidTr="00D23FBE">
        <w:trPr>
          <w:trHeight w:val="393"/>
          <w:jc w:val="center"/>
        </w:trPr>
        <w:tc>
          <w:tcPr>
            <w:tcW w:w="3116" w:type="dxa"/>
            <w:shd w:val="clear" w:color="auto" w:fill="auto"/>
          </w:tcPr>
          <w:p w14:paraId="6895B622" w14:textId="77777777" w:rsidR="007D574D" w:rsidRPr="007D574D" w:rsidRDefault="007D574D" w:rsidP="007D574D">
            <w:pPr>
              <w:spacing w:before="100" w:beforeAutospacing="1" w:after="100" w:afterAutospacing="1"/>
              <w:jc w:val="left"/>
              <w:rPr>
                <w:kern w:val="24"/>
                <w:lang w:val="ro-RO"/>
              </w:rPr>
            </w:pPr>
            <w:r w:rsidRPr="007D574D">
              <w:rPr>
                <w:kern w:val="24"/>
                <w:lang w:val="ro-RO"/>
              </w:rPr>
              <w:t>Tuberculoza</w:t>
            </w:r>
          </w:p>
        </w:tc>
        <w:tc>
          <w:tcPr>
            <w:tcW w:w="1615" w:type="dxa"/>
            <w:shd w:val="clear" w:color="auto" w:fill="auto"/>
          </w:tcPr>
          <w:p w14:paraId="52792ACA" w14:textId="77777777" w:rsidR="007D574D" w:rsidRPr="007D574D" w:rsidRDefault="007D574D" w:rsidP="003D5CD7">
            <w:pPr>
              <w:spacing w:before="100" w:beforeAutospacing="1" w:after="100" w:afterAutospacing="1"/>
              <w:jc w:val="center"/>
              <w:rPr>
                <w:kern w:val="24"/>
                <w:lang w:val="ro-RO"/>
              </w:rPr>
            </w:pPr>
            <w:r w:rsidRPr="007D574D">
              <w:rPr>
                <w:kern w:val="24"/>
                <w:lang w:val="ro-RO"/>
              </w:rPr>
              <w:t>30</w:t>
            </w:r>
          </w:p>
        </w:tc>
        <w:tc>
          <w:tcPr>
            <w:tcW w:w="1502" w:type="dxa"/>
            <w:shd w:val="clear" w:color="auto" w:fill="auto"/>
          </w:tcPr>
          <w:p w14:paraId="0D6B6B91" w14:textId="77777777" w:rsidR="007D574D" w:rsidRPr="007D574D" w:rsidRDefault="007D574D" w:rsidP="003D5CD7">
            <w:pPr>
              <w:spacing w:before="100" w:beforeAutospacing="1" w:after="100" w:afterAutospacing="1"/>
              <w:jc w:val="center"/>
              <w:rPr>
                <w:kern w:val="24"/>
                <w:lang w:val="ro-RO"/>
              </w:rPr>
            </w:pPr>
            <w:r w:rsidRPr="007D574D">
              <w:rPr>
                <w:kern w:val="24"/>
                <w:lang w:val="ro-RO"/>
              </w:rPr>
              <w:t>5</w:t>
            </w:r>
          </w:p>
        </w:tc>
        <w:tc>
          <w:tcPr>
            <w:tcW w:w="1353" w:type="dxa"/>
            <w:shd w:val="clear" w:color="auto" w:fill="auto"/>
          </w:tcPr>
          <w:p w14:paraId="6D0A4788" w14:textId="77777777" w:rsidR="007D574D" w:rsidRPr="007D574D" w:rsidRDefault="007D574D" w:rsidP="003D5CD7">
            <w:pPr>
              <w:spacing w:before="100" w:beforeAutospacing="1" w:after="100" w:afterAutospacing="1"/>
              <w:jc w:val="center"/>
              <w:rPr>
                <w:kern w:val="24"/>
                <w:lang w:val="ro-RO"/>
              </w:rPr>
            </w:pPr>
            <w:r w:rsidRPr="007D574D">
              <w:rPr>
                <w:kern w:val="24"/>
                <w:lang w:val="ro-RO"/>
              </w:rPr>
              <w:t>5,4</w:t>
            </w:r>
          </w:p>
        </w:tc>
        <w:tc>
          <w:tcPr>
            <w:tcW w:w="1764" w:type="dxa"/>
            <w:shd w:val="clear" w:color="auto" w:fill="auto"/>
          </w:tcPr>
          <w:p w14:paraId="3E670C8A" w14:textId="77777777" w:rsidR="007D574D" w:rsidRPr="007D574D" w:rsidRDefault="007D574D" w:rsidP="003D5CD7">
            <w:pPr>
              <w:spacing w:before="100" w:beforeAutospacing="1" w:after="100" w:afterAutospacing="1"/>
              <w:jc w:val="center"/>
              <w:rPr>
                <w:kern w:val="24"/>
                <w:lang w:val="ro-RO"/>
              </w:rPr>
            </w:pPr>
            <w:r w:rsidRPr="007D574D">
              <w:rPr>
                <w:kern w:val="24"/>
                <w:lang w:val="ro-RO"/>
              </w:rPr>
              <w:t>1,4</w:t>
            </w:r>
          </w:p>
        </w:tc>
      </w:tr>
      <w:tr w:rsidR="007D574D" w:rsidRPr="007D574D" w14:paraId="1956EF79" w14:textId="77777777" w:rsidTr="00D23FBE">
        <w:trPr>
          <w:trHeight w:val="393"/>
          <w:jc w:val="center"/>
        </w:trPr>
        <w:tc>
          <w:tcPr>
            <w:tcW w:w="3116" w:type="dxa"/>
            <w:shd w:val="clear" w:color="auto" w:fill="auto"/>
          </w:tcPr>
          <w:p w14:paraId="77739606" w14:textId="77777777" w:rsidR="007D574D" w:rsidRPr="007D574D" w:rsidRDefault="007D574D" w:rsidP="007D574D">
            <w:pPr>
              <w:spacing w:before="100" w:beforeAutospacing="1" w:after="100" w:afterAutospacing="1"/>
              <w:jc w:val="left"/>
              <w:rPr>
                <w:rFonts w:eastAsia="Calibri"/>
                <w:kern w:val="24"/>
              </w:rPr>
            </w:pPr>
            <w:r w:rsidRPr="007D574D">
              <w:rPr>
                <w:kern w:val="24"/>
              </w:rPr>
              <w:t>Toate cauzele</w:t>
            </w:r>
          </w:p>
        </w:tc>
        <w:tc>
          <w:tcPr>
            <w:tcW w:w="1615" w:type="dxa"/>
            <w:shd w:val="clear" w:color="auto" w:fill="auto"/>
          </w:tcPr>
          <w:p w14:paraId="284F4DC1" w14:textId="77777777" w:rsidR="007D574D" w:rsidRPr="007D574D" w:rsidRDefault="007D574D" w:rsidP="003D5CD7">
            <w:pPr>
              <w:spacing w:before="100" w:beforeAutospacing="1" w:after="100" w:afterAutospacing="1"/>
              <w:jc w:val="center"/>
              <w:rPr>
                <w:rFonts w:eastAsia="Calibri"/>
                <w:kern w:val="24"/>
              </w:rPr>
            </w:pPr>
            <w:r w:rsidRPr="007D574D">
              <w:rPr>
                <w:kern w:val="24"/>
              </w:rPr>
              <w:t>25</w:t>
            </w:r>
          </w:p>
        </w:tc>
        <w:tc>
          <w:tcPr>
            <w:tcW w:w="1502" w:type="dxa"/>
            <w:shd w:val="clear" w:color="auto" w:fill="auto"/>
          </w:tcPr>
          <w:p w14:paraId="0566BC69" w14:textId="77777777" w:rsidR="007D574D" w:rsidRPr="007D574D" w:rsidRDefault="007D574D" w:rsidP="003D5CD7">
            <w:pPr>
              <w:spacing w:before="100" w:beforeAutospacing="1" w:after="100" w:afterAutospacing="1"/>
              <w:jc w:val="center"/>
              <w:rPr>
                <w:rFonts w:eastAsia="Calibri"/>
                <w:kern w:val="24"/>
              </w:rPr>
            </w:pPr>
            <w:r w:rsidRPr="007D574D">
              <w:rPr>
                <w:kern w:val="24"/>
              </w:rPr>
              <w:t>7</w:t>
            </w:r>
          </w:p>
        </w:tc>
        <w:tc>
          <w:tcPr>
            <w:tcW w:w="1353" w:type="dxa"/>
            <w:shd w:val="clear" w:color="auto" w:fill="auto"/>
          </w:tcPr>
          <w:p w14:paraId="5156ACB5" w14:textId="77777777" w:rsidR="007D574D" w:rsidRPr="007D574D" w:rsidRDefault="007D574D" w:rsidP="003D5CD7">
            <w:pPr>
              <w:spacing w:before="100" w:beforeAutospacing="1" w:after="100" w:afterAutospacing="1"/>
              <w:jc w:val="center"/>
              <w:rPr>
                <w:rFonts w:eastAsia="Calibri"/>
                <w:kern w:val="24"/>
              </w:rPr>
            </w:pPr>
            <w:r w:rsidRPr="007D574D">
              <w:rPr>
                <w:kern w:val="24"/>
              </w:rPr>
              <w:t>932,5</w:t>
            </w:r>
          </w:p>
        </w:tc>
        <w:tc>
          <w:tcPr>
            <w:tcW w:w="1764" w:type="dxa"/>
            <w:shd w:val="clear" w:color="auto" w:fill="auto"/>
          </w:tcPr>
          <w:p w14:paraId="052C8E2C" w14:textId="77777777" w:rsidR="007D574D" w:rsidRPr="007D574D" w:rsidRDefault="007D574D" w:rsidP="003D5CD7">
            <w:pPr>
              <w:spacing w:before="100" w:beforeAutospacing="1" w:after="100" w:afterAutospacing="1"/>
              <w:jc w:val="center"/>
              <w:rPr>
                <w:rFonts w:eastAsia="Calibri"/>
                <w:kern w:val="24"/>
              </w:rPr>
            </w:pPr>
            <w:r w:rsidRPr="007D574D">
              <w:rPr>
                <w:kern w:val="24"/>
              </w:rPr>
              <w:t>553,6</w:t>
            </w:r>
          </w:p>
        </w:tc>
      </w:tr>
    </w:tbl>
    <w:p w14:paraId="71F90A13" w14:textId="445DE7A7" w:rsidR="007D574D" w:rsidRPr="007D574D" w:rsidRDefault="007D574D" w:rsidP="007D574D">
      <w:pPr>
        <w:spacing w:before="100" w:beforeAutospacing="1" w:after="100" w:afterAutospacing="1"/>
        <w:rPr>
          <w:bCs/>
          <w:bdr w:val="none" w:sz="0" w:space="0" w:color="auto" w:frame="1"/>
        </w:rPr>
      </w:pPr>
      <w:r w:rsidRPr="007D574D">
        <w:rPr>
          <w:bCs/>
          <w:bdr w:val="none" w:sz="0" w:space="0" w:color="auto" w:frame="1"/>
        </w:rPr>
        <w:t>Sursa: World Health Organization. Regional Office for Europe. European Tobacco Use Trends Report 2019 (p.16)</w:t>
      </w:r>
      <w:r>
        <w:rPr>
          <w:bCs/>
          <w:bdr w:val="none" w:sz="0" w:space="0" w:color="auto" w:frame="1"/>
        </w:rPr>
        <w:t xml:space="preserve"> </w:t>
      </w:r>
      <w:sdt>
        <w:sdtPr>
          <w:rPr>
            <w:bCs/>
            <w:bdr w:val="none" w:sz="0" w:space="0" w:color="auto" w:frame="1"/>
          </w:rPr>
          <w:id w:val="1866394200"/>
          <w:citation/>
        </w:sdtPr>
        <w:sdtContent>
          <w:r>
            <w:rPr>
              <w:bCs/>
              <w:bdr w:val="none" w:sz="0" w:space="0" w:color="auto" w:frame="1"/>
            </w:rPr>
            <w:fldChar w:fldCharType="begin"/>
          </w:r>
          <w:r>
            <w:rPr>
              <w:bCs/>
              <w:bdr w:val="none" w:sz="0" w:space="0" w:color="auto" w:frame="1"/>
              <w:lang w:val="ro-RO"/>
            </w:rPr>
            <w:instrText xml:space="preserve"> CITATION Wor19 \l 1048 </w:instrText>
          </w:r>
          <w:r>
            <w:rPr>
              <w:bCs/>
              <w:bdr w:val="none" w:sz="0" w:space="0" w:color="auto" w:frame="1"/>
            </w:rPr>
            <w:fldChar w:fldCharType="separate"/>
          </w:r>
          <w:r w:rsidR="00CE4424" w:rsidRPr="00CE4424">
            <w:rPr>
              <w:noProof/>
              <w:bdr w:val="none" w:sz="0" w:space="0" w:color="auto" w:frame="1"/>
              <w:lang w:val="ro-RO"/>
            </w:rPr>
            <w:t>(World Health Organization -Regional Office for Europe, 2019)</w:t>
          </w:r>
          <w:r>
            <w:rPr>
              <w:bCs/>
              <w:bdr w:val="none" w:sz="0" w:space="0" w:color="auto" w:frame="1"/>
            </w:rPr>
            <w:fldChar w:fldCharType="end"/>
          </w:r>
        </w:sdtContent>
      </w:sdt>
    </w:p>
    <w:p w14:paraId="41608FD4" w14:textId="1EF9F1F3" w:rsidR="00E6166A" w:rsidRPr="007E762F" w:rsidRDefault="007E762F" w:rsidP="007E762F">
      <w:pPr>
        <w:pStyle w:val="Heading3"/>
      </w:pPr>
      <w:bookmarkStart w:id="11" w:name="_Toc132812357"/>
      <w:r w:rsidRPr="007E762F">
        <w:t>DALY (Disability Adjusted Life Years) – atribuibili fumatului</w:t>
      </w:r>
      <w:bookmarkEnd w:id="11"/>
    </w:p>
    <w:p w14:paraId="307A820C" w14:textId="2138927E" w:rsidR="005C0050" w:rsidRPr="0009222B" w:rsidRDefault="005C0050" w:rsidP="00A52E6B">
      <w:r w:rsidRPr="0009222B">
        <w:t xml:space="preserve">Numărul anilor pierduți din cauza dizabilității cauzate de bolile atribuite tutunului reprezintă mai mult de 25% din toți anii pierduți din cauza dizabilității pentru adulții cu vârsta cuprinsă între 45 și 79 de ani. Boala </w:t>
      </w:r>
      <w:r w:rsidRPr="0009222B">
        <w:lastRenderedPageBreak/>
        <w:t>cardiacă ischemică, BPOC și cancerul pulmonar reprezintă mai mult de jumătate din anii pierduți din cauza dizabilităților cauzate de bolile atribuite tutunului.</w:t>
      </w:r>
      <w:r w:rsidR="00A52E6B">
        <w:t xml:space="preserve"> </w:t>
      </w:r>
    </w:p>
    <w:p w14:paraId="191B79E5" w14:textId="103CC8EA" w:rsidR="005C0050" w:rsidRPr="0009222B" w:rsidRDefault="005C0050" w:rsidP="00A52E6B">
      <w:pPr>
        <w:rPr>
          <w:bdr w:val="none" w:sz="0" w:space="0" w:color="auto" w:frame="1"/>
        </w:rPr>
      </w:pPr>
      <w:r w:rsidRPr="0009222B">
        <w:rPr>
          <w:bdr w:val="none" w:sz="0" w:space="0" w:color="auto" w:frame="1"/>
        </w:rPr>
        <w:t xml:space="preserve">La nivel mondial, o mare parte din povara </w:t>
      </w:r>
      <w:r w:rsidRPr="0009222B">
        <w:t>îmbolnăvirilor estimată prin DALY</w:t>
      </w:r>
      <w:r w:rsidRPr="0009222B">
        <w:rPr>
          <w:bdr w:val="none" w:sz="0" w:space="0" w:color="auto" w:frame="1"/>
        </w:rPr>
        <w:t>se datorează consumului de tutun, România înregistrând un procent de 13.4% conform datelor din 2019.</w:t>
      </w:r>
      <w:r w:rsidR="00A52E6B">
        <w:rPr>
          <w:bdr w:val="none" w:sz="0" w:space="0" w:color="auto" w:frame="1"/>
        </w:rPr>
        <w:t xml:space="preserve"> </w:t>
      </w:r>
      <w:r>
        <w:rPr>
          <w:bdr w:val="none" w:sz="0" w:space="0" w:color="auto" w:frame="1"/>
        </w:rPr>
        <w:t xml:space="preserve">La nivelul UE, </w:t>
      </w:r>
      <w:r w:rsidRPr="0009222B">
        <w:rPr>
          <w:bdr w:val="none" w:sz="0" w:space="0" w:color="auto" w:frame="1"/>
        </w:rPr>
        <w:t>Finlanda (7,0%) și Suedia (7,3%) prezentau valorile cele mai scăzute în timp ce Ungaria î</w:t>
      </w:r>
      <w:r>
        <w:rPr>
          <w:bdr w:val="none" w:sz="0" w:space="0" w:color="auto" w:frame="1"/>
        </w:rPr>
        <w:t xml:space="preserve">nregistra cel mai </w:t>
      </w:r>
      <w:r w:rsidRPr="0009222B">
        <w:rPr>
          <w:bdr w:val="none" w:sz="0" w:space="0" w:color="auto" w:frame="1"/>
        </w:rPr>
        <w:t>ridicat procent (17,6%</w:t>
      </w:r>
      <w:r>
        <w:rPr>
          <w:bdr w:val="none" w:sz="0" w:space="0" w:color="auto" w:frame="1"/>
        </w:rPr>
        <w:t>) (fig.</w:t>
      </w:r>
      <w:r w:rsidR="007E762F">
        <w:rPr>
          <w:bdr w:val="none" w:sz="0" w:space="0" w:color="auto" w:frame="1"/>
        </w:rPr>
        <w:t>5</w:t>
      </w:r>
      <w:r w:rsidRPr="0009222B">
        <w:rPr>
          <w:bdr w:val="none" w:sz="0" w:space="0" w:color="auto" w:frame="1"/>
        </w:rPr>
        <w:t>)</w:t>
      </w:r>
      <w:r w:rsidR="00A52E6B">
        <w:rPr>
          <w:bdr w:val="none" w:sz="0" w:space="0" w:color="auto" w:frame="1"/>
        </w:rPr>
        <w:t xml:space="preserve"> </w:t>
      </w:r>
      <w:sdt>
        <w:sdtPr>
          <w:rPr>
            <w:bdr w:val="none" w:sz="0" w:space="0" w:color="auto" w:frame="1"/>
          </w:rPr>
          <w:id w:val="-1775696751"/>
          <w:citation/>
        </w:sdtPr>
        <w:sdtContent>
          <w:r w:rsidR="00A52E6B">
            <w:rPr>
              <w:bdr w:val="none" w:sz="0" w:space="0" w:color="auto" w:frame="1"/>
            </w:rPr>
            <w:fldChar w:fldCharType="begin"/>
          </w:r>
          <w:r w:rsidR="00A52E6B">
            <w:rPr>
              <w:bdr w:val="none" w:sz="0" w:space="0" w:color="auto" w:frame="1"/>
            </w:rPr>
            <w:instrText xml:space="preserve"> CITATION Vit22 \l 1033 </w:instrText>
          </w:r>
          <w:r w:rsidR="00A52E6B">
            <w:rPr>
              <w:bdr w:val="none" w:sz="0" w:space="0" w:color="auto" w:frame="1"/>
            </w:rPr>
            <w:fldChar w:fldCharType="separate"/>
          </w:r>
          <w:r w:rsidR="00CE4424" w:rsidRPr="00CE4424">
            <w:rPr>
              <w:noProof/>
              <w:bdr w:val="none" w:sz="0" w:space="0" w:color="auto" w:frame="1"/>
            </w:rPr>
            <w:t>(Vital Strategies and Tobacconomics at the University of Illinois Chicago, 2021, Last updated: May 2022)</w:t>
          </w:r>
          <w:r w:rsidR="00A52E6B">
            <w:rPr>
              <w:bdr w:val="none" w:sz="0" w:space="0" w:color="auto" w:frame="1"/>
            </w:rPr>
            <w:fldChar w:fldCharType="end"/>
          </w:r>
        </w:sdtContent>
      </w:sdt>
    </w:p>
    <w:p w14:paraId="3F62FCA2" w14:textId="6AC121EC" w:rsidR="005C0050" w:rsidRDefault="005C0050" w:rsidP="005C0050">
      <w:pPr>
        <w:spacing w:after="0"/>
        <w:textAlignment w:val="baseline"/>
        <w:outlineLvl w:val="4"/>
        <w:rPr>
          <w:bCs/>
          <w:bdr w:val="none" w:sz="0" w:space="0" w:color="auto" w:frame="1"/>
        </w:rPr>
      </w:pPr>
      <w:r>
        <w:rPr>
          <w:bCs/>
          <w:bdr w:val="none" w:sz="0" w:space="0" w:color="auto" w:frame="1"/>
        </w:rPr>
        <w:t xml:space="preserve">Fig. </w:t>
      </w:r>
      <w:r w:rsidR="007E762F">
        <w:rPr>
          <w:bCs/>
          <w:bdr w:val="none" w:sz="0" w:space="0" w:color="auto" w:frame="1"/>
        </w:rPr>
        <w:t>5</w:t>
      </w:r>
      <w:r>
        <w:rPr>
          <w:bCs/>
          <w:bdr w:val="none" w:sz="0" w:space="0" w:color="auto" w:frame="1"/>
        </w:rPr>
        <w:t xml:space="preserve"> </w:t>
      </w:r>
      <w:r w:rsidRPr="00180A58">
        <w:rPr>
          <w:bCs/>
          <w:bdr w:val="none" w:sz="0" w:space="0" w:color="auto" w:frame="1"/>
        </w:rPr>
        <w:t>Procent</w:t>
      </w:r>
      <w:r>
        <w:rPr>
          <w:bCs/>
          <w:bdr w:val="none" w:sz="0" w:space="0" w:color="auto" w:frame="1"/>
        </w:rPr>
        <w:t xml:space="preserve">ul </w:t>
      </w:r>
      <w:r w:rsidRPr="00180A58">
        <w:rPr>
          <w:bCs/>
          <w:bdr w:val="none" w:sz="0" w:space="0" w:color="auto" w:frame="1"/>
        </w:rPr>
        <w:t>ani</w:t>
      </w:r>
      <w:r>
        <w:rPr>
          <w:bCs/>
          <w:bdr w:val="none" w:sz="0" w:space="0" w:color="auto" w:frame="1"/>
        </w:rPr>
        <w:t>lor</w:t>
      </w:r>
      <w:r w:rsidRPr="00180A58">
        <w:rPr>
          <w:bCs/>
          <w:bdr w:val="none" w:sz="0" w:space="0" w:color="auto" w:frame="1"/>
        </w:rPr>
        <w:t xml:space="preserve"> de viață aju</w:t>
      </w:r>
      <w:r>
        <w:rPr>
          <w:bCs/>
          <w:bdr w:val="none" w:sz="0" w:space="0" w:color="auto" w:frame="1"/>
        </w:rPr>
        <w:t>stați în funcție de dizabilitate</w:t>
      </w:r>
      <w:r w:rsidRPr="00180A58">
        <w:rPr>
          <w:bCs/>
          <w:bdr w:val="none" w:sz="0" w:space="0" w:color="auto" w:frame="1"/>
        </w:rPr>
        <w:t xml:space="preserve"> (DALY</w:t>
      </w:r>
      <w:r>
        <w:rPr>
          <w:bCs/>
          <w:bdr w:val="none" w:sz="0" w:space="0" w:color="auto" w:frame="1"/>
        </w:rPr>
        <w:t>s</w:t>
      </w:r>
      <w:r w:rsidRPr="00180A58">
        <w:rPr>
          <w:bCs/>
          <w:bdr w:val="none" w:sz="0" w:space="0" w:color="auto" w:frame="1"/>
        </w:rPr>
        <w:t>) atribuiți consumului de tutun</w:t>
      </w:r>
    </w:p>
    <w:p w14:paraId="5382AB7E" w14:textId="77777777" w:rsidR="005C0050" w:rsidRPr="00B166A9" w:rsidRDefault="005C0050" w:rsidP="005C0050">
      <w:pPr>
        <w:spacing w:after="0"/>
        <w:ind w:firstLine="720"/>
        <w:textAlignment w:val="baseline"/>
        <w:outlineLvl w:val="4"/>
        <w:rPr>
          <w:bCs/>
          <w:bdr w:val="none" w:sz="0" w:space="0" w:color="auto" w:frame="1"/>
        </w:rPr>
      </w:pPr>
    </w:p>
    <w:p w14:paraId="6A8A52D9" w14:textId="1CA60A9B" w:rsidR="00A52E6B" w:rsidRDefault="00A52E6B" w:rsidP="00D23FBE">
      <w:pPr>
        <w:jc w:val="center"/>
        <w:rPr>
          <w:bCs/>
          <w:bdr w:val="none" w:sz="0" w:space="0" w:color="auto" w:frame="1"/>
        </w:rPr>
      </w:pPr>
      <w:r w:rsidRPr="00A52E6B">
        <w:rPr>
          <w:bCs/>
          <w:noProof/>
          <w:bdr w:val="none" w:sz="0" w:space="0" w:color="auto" w:frame="1"/>
        </w:rPr>
        <w:drawing>
          <wp:inline distT="0" distB="0" distL="0" distR="0" wp14:anchorId="28F1AC2F" wp14:editId="442369A5">
            <wp:extent cx="5943600" cy="27781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778125"/>
                    </a:xfrm>
                    <a:prstGeom prst="rect">
                      <a:avLst/>
                    </a:prstGeom>
                  </pic:spPr>
                </pic:pic>
              </a:graphicData>
            </a:graphic>
          </wp:inline>
        </w:drawing>
      </w:r>
    </w:p>
    <w:p w14:paraId="49953298" w14:textId="527EABF6" w:rsidR="000A3C42" w:rsidRPr="00475560" w:rsidRDefault="00A52E6B" w:rsidP="005C0050">
      <w:pPr>
        <w:rPr>
          <w:bCs/>
          <w:bdr w:val="none" w:sz="0" w:space="0" w:color="auto" w:frame="1"/>
        </w:rPr>
      </w:pPr>
      <w:r w:rsidRPr="00475560">
        <w:rPr>
          <w:bCs/>
          <w:bdr w:val="none" w:sz="0" w:space="0" w:color="auto" w:frame="1"/>
        </w:rPr>
        <w:t xml:space="preserve">Sursa: </w:t>
      </w:r>
      <w:r w:rsidR="005C0050" w:rsidRPr="00475560">
        <w:rPr>
          <w:bCs/>
          <w:bdr w:val="none" w:sz="0" w:space="0" w:color="auto" w:frame="1"/>
        </w:rPr>
        <w:t xml:space="preserve">Tobacco Atlas: </w:t>
      </w:r>
      <w:hyperlink r:id="rId19" w:history="1">
        <w:r w:rsidR="005C0050" w:rsidRPr="00475560">
          <w:rPr>
            <w:rStyle w:val="Hyperlink"/>
            <w:bCs/>
            <w:color w:val="auto"/>
            <w:bdr w:val="none" w:sz="0" w:space="0" w:color="auto" w:frame="1"/>
          </w:rPr>
          <w:t>https://tobaccoatlas.org/challenges/health-effects/</w:t>
        </w:r>
      </w:hyperlink>
      <w:sdt>
        <w:sdtPr>
          <w:rPr>
            <w:rStyle w:val="Hyperlink"/>
            <w:bCs/>
            <w:color w:val="auto"/>
            <w:bdr w:val="none" w:sz="0" w:space="0" w:color="auto" w:frame="1"/>
          </w:rPr>
          <w:id w:val="1322385117"/>
          <w:citation/>
        </w:sdtPr>
        <w:sdtContent>
          <w:r w:rsidRPr="00475560">
            <w:rPr>
              <w:rStyle w:val="Hyperlink"/>
              <w:bCs/>
              <w:color w:val="auto"/>
              <w:bdr w:val="none" w:sz="0" w:space="0" w:color="auto" w:frame="1"/>
            </w:rPr>
            <w:fldChar w:fldCharType="begin"/>
          </w:r>
          <w:r w:rsidRPr="00475560">
            <w:rPr>
              <w:rStyle w:val="Hyperlink"/>
              <w:bCs/>
              <w:color w:val="auto"/>
              <w:bdr w:val="none" w:sz="0" w:space="0" w:color="auto" w:frame="1"/>
            </w:rPr>
            <w:instrText xml:space="preserve"> CITATION The23 \l 1033 </w:instrText>
          </w:r>
          <w:r w:rsidRPr="00475560">
            <w:rPr>
              <w:rStyle w:val="Hyperlink"/>
              <w:bCs/>
              <w:color w:val="auto"/>
              <w:bdr w:val="none" w:sz="0" w:space="0" w:color="auto" w:frame="1"/>
            </w:rPr>
            <w:fldChar w:fldCharType="separate"/>
          </w:r>
          <w:r w:rsidR="00CE4424">
            <w:rPr>
              <w:rStyle w:val="Hyperlink"/>
              <w:bCs/>
              <w:noProof/>
              <w:color w:val="auto"/>
              <w:bdr w:val="none" w:sz="0" w:space="0" w:color="auto" w:frame="1"/>
            </w:rPr>
            <w:t xml:space="preserve"> </w:t>
          </w:r>
          <w:r w:rsidR="00CE4424" w:rsidRPr="00CE4424">
            <w:rPr>
              <w:noProof/>
              <w:bdr w:val="none" w:sz="0" w:space="0" w:color="auto" w:frame="1"/>
            </w:rPr>
            <w:t>(The Tobacco Atlas, 2023)</w:t>
          </w:r>
          <w:r w:rsidRPr="00475560">
            <w:rPr>
              <w:rStyle w:val="Hyperlink"/>
              <w:bCs/>
              <w:color w:val="auto"/>
              <w:bdr w:val="none" w:sz="0" w:space="0" w:color="auto" w:frame="1"/>
            </w:rPr>
            <w:fldChar w:fldCharType="end"/>
          </w:r>
        </w:sdtContent>
      </w:sdt>
    </w:p>
    <w:p w14:paraId="1C715C45" w14:textId="1EF807E9" w:rsidR="007D574D" w:rsidRPr="0009222B" w:rsidRDefault="007D574D" w:rsidP="007D574D">
      <w:r w:rsidRPr="0009222B">
        <w:rPr>
          <w:bdr w:val="none" w:sz="0" w:space="0" w:color="auto" w:frame="1"/>
        </w:rPr>
        <w:t>Boala cardiacă ischemică, BPOC și cancerul pulmonar reprezintă mai mult de jumătate din povara îmbolnăvirilor și a anilor de viață ajustați pentru dizabilitate</w:t>
      </w:r>
      <w:r>
        <w:rPr>
          <w:bdr w:val="none" w:sz="0" w:space="0" w:color="auto" w:frame="1"/>
        </w:rPr>
        <w:t xml:space="preserve"> </w:t>
      </w:r>
      <w:r w:rsidRPr="0009222B">
        <w:rPr>
          <w:bdr w:val="none" w:sz="0" w:space="0" w:color="auto" w:frame="1"/>
        </w:rPr>
        <w:t>DALY (</w:t>
      </w:r>
      <w:r w:rsidRPr="0009222B">
        <w:t>Disability Adjusted Life Years</w:t>
      </w:r>
      <w:r>
        <w:t>=</w:t>
      </w:r>
      <w:r w:rsidRPr="0009222B">
        <w:t xml:space="preserve"> suma anilor de viaţă pierduți prin decese premature și anilor trăiţi cu dizabilitate</w:t>
      </w:r>
      <w:r>
        <w:t>)</w:t>
      </w:r>
      <w:r w:rsidRPr="0009222B">
        <w:t xml:space="preserve"> </w:t>
      </w:r>
      <w:r>
        <w:rPr>
          <w:bdr w:val="none" w:sz="0" w:space="0" w:color="auto" w:frame="1"/>
        </w:rPr>
        <w:t>(fig.</w:t>
      </w:r>
      <w:r w:rsidR="007E762F">
        <w:rPr>
          <w:bdr w:val="none" w:sz="0" w:space="0" w:color="auto" w:frame="1"/>
        </w:rPr>
        <w:t>6</w:t>
      </w:r>
      <w:r w:rsidRPr="0009222B">
        <w:rPr>
          <w:bdr w:val="none" w:sz="0" w:space="0" w:color="auto" w:frame="1"/>
        </w:rPr>
        <w:t>)</w:t>
      </w:r>
      <w:r>
        <w:rPr>
          <w:bdr w:val="none" w:sz="0" w:space="0" w:color="auto" w:frame="1"/>
        </w:rPr>
        <w:t>.</w:t>
      </w:r>
    </w:p>
    <w:p w14:paraId="075CAA82" w14:textId="0CA50968" w:rsidR="007D574D" w:rsidRDefault="007D574D" w:rsidP="007D574D">
      <w:pPr>
        <w:rPr>
          <w:bdr w:val="none" w:sz="0" w:space="0" w:color="auto" w:frame="1"/>
        </w:rPr>
      </w:pPr>
      <w:r>
        <w:rPr>
          <w:bdr w:val="none" w:sz="0" w:space="0" w:color="auto" w:frame="1"/>
        </w:rPr>
        <w:t xml:space="preserve">Fig. </w:t>
      </w:r>
      <w:r w:rsidR="007E762F">
        <w:rPr>
          <w:bdr w:val="none" w:sz="0" w:space="0" w:color="auto" w:frame="1"/>
        </w:rPr>
        <w:t>6.</w:t>
      </w:r>
      <w:r>
        <w:rPr>
          <w:bdr w:val="none" w:sz="0" w:space="0" w:color="auto" w:frame="1"/>
        </w:rPr>
        <w:t xml:space="preserve"> Povara bolilor cauzate de tutun. Procentul DALY atribuit</w:t>
      </w:r>
      <w:r w:rsidRPr="003B6EBF">
        <w:rPr>
          <w:bdr w:val="none" w:sz="0" w:space="0" w:color="auto" w:frame="1"/>
        </w:rPr>
        <w:t xml:space="preserve"> tutunului în funcție de boală, 2019</w:t>
      </w:r>
    </w:p>
    <w:p w14:paraId="1074B064" w14:textId="65E3A8EA" w:rsidR="005C0050" w:rsidRPr="000A3C42" w:rsidRDefault="007D574D" w:rsidP="00D23FBE">
      <w:pPr>
        <w:jc w:val="center"/>
      </w:pPr>
      <w:r>
        <w:rPr>
          <w:noProof/>
          <w:bdr w:val="none" w:sz="0" w:space="0" w:color="auto" w:frame="1"/>
        </w:rPr>
        <w:drawing>
          <wp:inline distT="0" distB="0" distL="0" distR="0" wp14:anchorId="69D408E0" wp14:editId="06655A7C">
            <wp:extent cx="2777490" cy="233743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7490" cy="2337435"/>
                    </a:xfrm>
                    <a:prstGeom prst="rect">
                      <a:avLst/>
                    </a:prstGeom>
                    <a:noFill/>
                  </pic:spPr>
                </pic:pic>
              </a:graphicData>
            </a:graphic>
          </wp:inline>
        </w:drawing>
      </w:r>
    </w:p>
    <w:p w14:paraId="1947F3BA" w14:textId="6753A009" w:rsidR="006728CC" w:rsidRDefault="006728CC" w:rsidP="005C0050">
      <w:pPr>
        <w:pStyle w:val="Heading2"/>
        <w:numPr>
          <w:ilvl w:val="0"/>
          <w:numId w:val="6"/>
        </w:numPr>
        <w:rPr>
          <w:bdr w:val="none" w:sz="0" w:space="0" w:color="auto" w:frame="1"/>
        </w:rPr>
      </w:pPr>
      <w:bookmarkStart w:id="12" w:name="_Toc132812358"/>
      <w:r>
        <w:rPr>
          <w:bdr w:val="none" w:sz="0" w:space="0" w:color="auto" w:frame="1"/>
        </w:rPr>
        <w:lastRenderedPageBreak/>
        <w:t>Țigările electronice – riscurile pentru sănătate</w:t>
      </w:r>
      <w:bookmarkEnd w:id="12"/>
    </w:p>
    <w:p w14:paraId="0E2F6B8A" w14:textId="1F71B245" w:rsidR="006728CC" w:rsidRDefault="006728CC" w:rsidP="006728CC">
      <w:r>
        <w:t>În ultimii ani utilizarea pe scară din ce în ce mai largă a țigărilor electronice duce la îngrijorări privind efectele pe care le poate avea asupra sănătății individuale și asupra sănătății la nivel populational.</w:t>
      </w:r>
    </w:p>
    <w:p w14:paraId="67D0C936" w14:textId="36680B88" w:rsidR="0045308A" w:rsidRDefault="0045308A" w:rsidP="006728CC">
      <w:r>
        <w:t>Țigările electronice (e-țigări, ENDS- electronic nicotine delivery systems) sunt dispositive electronice caure utilizează baterii care conțin de obicei soluții cu glycerol și/sau propilen glycol și un conținut variabil de nicotină, cunoscut ca e-lichid.</w:t>
      </w:r>
      <w:sdt>
        <w:sdtPr>
          <w:id w:val="1012572530"/>
          <w:citation/>
        </w:sdtPr>
        <w:sdtContent>
          <w:r>
            <w:fldChar w:fldCharType="begin"/>
          </w:r>
          <w:r>
            <w:rPr>
              <w:lang w:val="ro-RO"/>
            </w:rPr>
            <w:instrText xml:space="preserve"> CITATION Gioov \l 1048 </w:instrText>
          </w:r>
          <w:r>
            <w:fldChar w:fldCharType="separate"/>
          </w:r>
          <w:r w:rsidR="00CE4424">
            <w:rPr>
              <w:noProof/>
              <w:lang w:val="ro-RO"/>
            </w:rPr>
            <w:t xml:space="preserve"> (Giovacchini CX, 2022 Nov)</w:t>
          </w:r>
          <w:r>
            <w:fldChar w:fldCharType="end"/>
          </w:r>
        </w:sdtContent>
      </w:sdt>
      <w:r w:rsidR="00271AD0">
        <w:t xml:space="preserve"> Utilizatorul inhalează aerosoli generați de încălzirea e-lichidului, process care este cunoscut sub denumirea de ”vapare” (vaping)</w:t>
      </w:r>
      <w:r w:rsidR="00210AB1">
        <w:t>.</w:t>
      </w:r>
      <w:sdt>
        <w:sdtPr>
          <w:id w:val="1137145251"/>
          <w:citation/>
        </w:sdtPr>
        <w:sdtContent>
          <w:r w:rsidR="00210AB1">
            <w:fldChar w:fldCharType="begin"/>
          </w:r>
          <w:r w:rsidR="00210AB1">
            <w:rPr>
              <w:lang w:val="ro-RO"/>
            </w:rPr>
            <w:instrText xml:space="preserve"> CITATION Ricer \l 1048 </w:instrText>
          </w:r>
          <w:r w:rsidR="00210AB1">
            <w:fldChar w:fldCharType="separate"/>
          </w:r>
          <w:r w:rsidR="00CE4424">
            <w:rPr>
              <w:noProof/>
              <w:lang w:val="ro-RO"/>
            </w:rPr>
            <w:t xml:space="preserve"> (Riccardo Polosa, 2022 November)</w:t>
          </w:r>
          <w:r w:rsidR="00210AB1">
            <w:fldChar w:fldCharType="end"/>
          </w:r>
        </w:sdtContent>
      </w:sdt>
    </w:p>
    <w:p w14:paraId="5CE48EB7" w14:textId="738D8F0E" w:rsidR="003E0586" w:rsidRDefault="009C511F" w:rsidP="006728CC">
      <w:r>
        <w:t>Deși aceste produse au fost dezvoltate inițial ca o soluție alternativ</w:t>
      </w:r>
      <w:r w:rsidR="00210AB1">
        <w:t>ă</w:t>
      </w:r>
      <w:r>
        <w:t xml:space="preserve"> mai puțin nocivă la produsele calasice de tutun, mai mulți factori au făcut ca aceste dispositive să crească în popularitate atât printre fumătorii de țigări convenționale, cât și printre nefumători</w:t>
      </w:r>
      <w:r w:rsidR="00FB420B">
        <w:t>, astfel</w:t>
      </w:r>
      <w:r>
        <w:t>: designul elegant al acestor produse, diverisitatea aromelor, lipsa fumului și a mirosului emanat de țigările clasice</w:t>
      </w:r>
      <w:r w:rsidR="00FB420B">
        <w:t xml:space="preserve">, </w:t>
      </w:r>
      <w:r>
        <w:t>concentrațiile poten</w:t>
      </w:r>
      <w:r w:rsidR="00FB420B">
        <w:t>ț</w:t>
      </w:r>
      <w:r>
        <w:t>ial mari de nicotină</w:t>
      </w:r>
      <w:r w:rsidR="00FB420B">
        <w:t>, dar și lipsa/ puținătatea reglementărilor legislative</w:t>
      </w:r>
      <w:r w:rsidR="007728CA">
        <w:t xml:space="preserve"> </w:t>
      </w:r>
      <w:r w:rsidR="00210AB1">
        <w:t>referitoare la aceste produse</w:t>
      </w:r>
      <w:r>
        <w:t xml:space="preserve">. </w:t>
      </w:r>
      <w:sdt>
        <w:sdtPr>
          <w:id w:val="1091888003"/>
          <w:citation/>
        </w:sdtPr>
        <w:sdtContent>
          <w:r>
            <w:fldChar w:fldCharType="begin"/>
          </w:r>
          <w:r>
            <w:rPr>
              <w:lang w:val="ro-RO"/>
            </w:rPr>
            <w:instrText xml:space="preserve"> CITATION Gioov \l 1048 </w:instrText>
          </w:r>
          <w:r>
            <w:fldChar w:fldCharType="separate"/>
          </w:r>
          <w:r w:rsidR="00CE4424">
            <w:rPr>
              <w:noProof/>
              <w:lang w:val="ro-RO"/>
            </w:rPr>
            <w:t>(Giovacchini CX, 2022 Nov)</w:t>
          </w:r>
          <w:r>
            <w:fldChar w:fldCharType="end"/>
          </w:r>
        </w:sdtContent>
      </w:sdt>
    </w:p>
    <w:p w14:paraId="456F64A3" w14:textId="036CBCF2" w:rsidR="006728CC" w:rsidRPr="00530FBD" w:rsidRDefault="003E0586" w:rsidP="006728CC">
      <w:pPr>
        <w:rPr>
          <w:lang w:val="ro-RO"/>
        </w:rPr>
      </w:pPr>
      <w:r>
        <w:rPr>
          <w:noProof/>
        </w:rPr>
        <mc:AlternateContent>
          <mc:Choice Requires="wpg">
            <w:drawing>
              <wp:anchor distT="45720" distB="45720" distL="182880" distR="182880" simplePos="0" relativeHeight="251675648" behindDoc="0" locked="0" layoutInCell="1" allowOverlap="1" wp14:anchorId="356BFDE8" wp14:editId="72B67933">
                <wp:simplePos x="0" y="0"/>
                <wp:positionH relativeFrom="margin">
                  <wp:align>left</wp:align>
                </wp:positionH>
                <mc:AlternateContent>
                  <mc:Choice Requires="wp14">
                    <wp:positionV relativeFrom="margin">
                      <wp14:pctPosVOffset>30000</wp14:pctPosVOffset>
                    </wp:positionV>
                  </mc:Choice>
                  <mc:Fallback>
                    <wp:positionV relativeFrom="page">
                      <wp:posOffset>3383280</wp:posOffset>
                    </wp:positionV>
                  </mc:Fallback>
                </mc:AlternateContent>
                <wp:extent cx="3566160" cy="824234"/>
                <wp:effectExtent l="0" t="0" r="0" b="13970"/>
                <wp:wrapSquare wrapText="bothSides"/>
                <wp:docPr id="49" name="Group 49"/>
                <wp:cNvGraphicFramePr/>
                <a:graphic xmlns:a="http://schemas.openxmlformats.org/drawingml/2006/main">
                  <a:graphicData uri="http://schemas.microsoft.com/office/word/2010/wordprocessingGroup">
                    <wpg:wgp>
                      <wpg:cNvGrpSpPr/>
                      <wpg:grpSpPr>
                        <a:xfrm>
                          <a:off x="0" y="0"/>
                          <a:ext cx="3566160" cy="824234"/>
                          <a:chOff x="0" y="0"/>
                          <a:chExt cx="3567448" cy="824061"/>
                        </a:xfrm>
                      </wpg:grpSpPr>
                      <wps:wsp>
                        <wps:cNvPr id="50" name="Rectangle 50"/>
                        <wps:cNvSpPr/>
                        <wps:spPr>
                          <a:xfrm>
                            <a:off x="0" y="0"/>
                            <a:ext cx="3567448" cy="27060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684E9C" w14:textId="77777777" w:rsidR="00570D51" w:rsidRPr="003E0586" w:rsidRDefault="00570D51">
                              <w:pPr>
                                <w:jc w:val="center"/>
                                <w:rPr>
                                  <w:rFonts w:eastAsiaTheme="majorEastAsia"/>
                                  <w:color w:val="FFFFFF" w:themeColor="background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Text Box 51"/>
                        <wps:cNvSpPr txBox="1"/>
                        <wps:spPr>
                          <a:xfrm>
                            <a:off x="0" y="252681"/>
                            <a:ext cx="3567448" cy="571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417BB5" w14:textId="62ADCCE5" w:rsidR="00570D51" w:rsidRPr="00AF3C18" w:rsidRDefault="00570D51">
                              <w:pPr>
                                <w:rPr>
                                  <w:caps/>
                                  <w:color w:val="385623" w:themeColor="accent6" w:themeShade="80"/>
                                  <w:lang w:val="ro-RO"/>
                                </w:rPr>
                              </w:pPr>
                              <w:r w:rsidRPr="00AF3C18">
                                <w:rPr>
                                  <w:caps/>
                                  <w:color w:val="385623" w:themeColor="accent6" w:themeShade="80"/>
                                  <w:lang w:val="ro-RO"/>
                                </w:rPr>
                                <w:t>Țigările electronice (ENDS) dau adicție și sunt dăunătoare sănătății.</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56BFDE8" id="Group 49" o:spid="_x0000_s1035" style="position:absolute;left:0;text-align:left;margin-left:0;margin-top:0;width:280.8pt;height:64.9pt;z-index:251675648;mso-top-percent:300;mso-wrap-distance-left:14.4pt;mso-wrap-distance-top:3.6pt;mso-wrap-distance-right:14.4pt;mso-wrap-distance-bottom:3.6pt;mso-position-horizontal:left;mso-position-horizontal-relative:margin;mso-position-vertical-relative:margin;mso-top-percent:300;mso-width-relative:margin;mso-height-relative:margin" coordsize="35674,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">
                <v:rect id="Rectangle 50" o:spid="_x0000_s1036"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E4VMEA&#10;AADbAAAADwAAAGRycy9kb3ducmV2LnhtbERPTWvCQBC9F/wPyxR6azYtVCS6SgmKLejBRHsesmMS&#10;kp0N2W0S/717EDw+3vdqM5lWDNS72rKCjygGQVxYXXOp4Jzv3hcgnEfW2FomBTdysFnPXlaYaDvy&#10;iYbMlyKEsEtQQeV9l0jpiooMush2xIG72t6gD7Avpe5xDOGmlZ9xPJcGaw4NFXaUVlQ02b9R8Hvc&#10;/9VHcxnL/JpOh6zZFsN+q9Tb6/S9BOFp8k/xw/2jFXyF9eFL+AF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xOFTBAAAA2wAAAA8AAAAAAAAAAAAAAAAAmAIAAGRycy9kb3du&#10;cmV2LnhtbFBLBQYAAAAABAAEAPUAAACGAwAAAAA=&#10;" fillcolor="#375623 [1609]" stroked="f" strokeweight="1pt">
                  <v:textbox>
                    <w:txbxContent>
                      <w:p w14:paraId="3E684E9C" w14:textId="77777777" w:rsidR="00570D51" w:rsidRPr="003E0586" w:rsidRDefault="00570D51">
                        <w:pPr>
                          <w:jc w:val="center"/>
                          <w:rPr>
                            <w:rFonts w:eastAsiaTheme="majorEastAsia"/>
                            <w:color w:val="FFFFFF" w:themeColor="background1"/>
                            <w:szCs w:val="24"/>
                          </w:rPr>
                        </w:pPr>
                      </w:p>
                    </w:txbxContent>
                  </v:textbox>
                </v:rect>
                <v:shape id="Text Box 51" o:spid="_x0000_s1037" type="#_x0000_t202" style="position:absolute;top:2526;width:35674;height:5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Ytu8MA&#10;AADbAAAADwAAAGRycy9kb3ducmV2LnhtbESPQYvCMBSE7wv+h/AEb2uq4irVKKIoelnYKoi3R/Ns&#10;q81LaVKt/94sLOxxmJlvmPmyNaV4UO0KywoG/QgEcWp1wZmC03H7OQXhPLLG0jIpeJGD5aLzMcdY&#10;2yf/0CPxmQgQdjEqyL2vYildmpNB17cVcfCutjbog6wzqWt8Brgp5TCKvqTBgsNCjhWtc0rvSWMU&#10;nEe36c4dombTjL69nEwuUu8OSvW67WoGwlPr/8N/7b1WMB7A75fwA+Ti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Ytu8MAAADbAAAADwAAAAAAAAAAAAAAAACYAgAAZHJzL2Rv&#10;d25yZXYueG1sUEsFBgAAAAAEAAQA9QAAAIgDAAAAAA==&#10;" filled="f" stroked="f" strokeweight=".5pt">
                  <v:textbox style="mso-fit-shape-to-text:t" inset=",7.2pt,,0">
                    <w:txbxContent>
                      <w:p w14:paraId="09417BB5" w14:textId="62ADCCE5" w:rsidR="00570D51" w:rsidRPr="00AF3C18" w:rsidRDefault="00570D51">
                        <w:pPr>
                          <w:rPr>
                            <w:caps/>
                            <w:color w:val="385623" w:themeColor="accent6" w:themeShade="80"/>
                            <w:lang w:val="ro-RO"/>
                          </w:rPr>
                        </w:pPr>
                        <w:r w:rsidRPr="00AF3C18">
                          <w:rPr>
                            <w:caps/>
                            <w:color w:val="385623" w:themeColor="accent6" w:themeShade="80"/>
                            <w:lang w:val="ro-RO"/>
                          </w:rPr>
                          <w:t>Țigările electronice (ENDS) dau adicție și sunt dăunătoare sănătății.</w:t>
                        </w:r>
                      </w:p>
                    </w:txbxContent>
                  </v:textbox>
                </v:shape>
                <w10:wrap type="square" anchorx="margin" anchory="margin"/>
              </v:group>
            </w:pict>
          </mc:Fallback>
        </mc:AlternateContent>
      </w:r>
      <w:r w:rsidR="006728CC">
        <w:t>Pentru că nu exi</w:t>
      </w:r>
      <w:r w:rsidR="00FF2378">
        <w:t>stă dovezi privind efectul acestora pe termen lung, prin noutatea acestor produse, sunt multe voci care propun utilizarea acestor dispositive ca metodă alternativă la fumatul c</w:t>
      </w:r>
      <w:r w:rsidR="00577C6F">
        <w:t>onvențional</w:t>
      </w:r>
      <w:r w:rsidR="00FF2378">
        <w:t xml:space="preserve">. Producătorii acestor dispositive le propun ca modalitate de renunțare la fumatul clasic, plecând de la premiza că ar fi mai puțin nocive pentru sănătate în comparație cu țigările clasice. Totuși, dovezile existente </w:t>
      </w:r>
      <w:r w:rsidR="00086385">
        <w:t xml:space="preserve">până la acest moment </w:t>
      </w:r>
      <w:r w:rsidR="00FF2378">
        <w:t>nu sprijină acest punct de vedere.</w:t>
      </w:r>
    </w:p>
    <w:p w14:paraId="29C2A1B2" w14:textId="6D839C91" w:rsidR="00210AB1" w:rsidRDefault="00210AB1" w:rsidP="006728CC">
      <w:r>
        <w:t>O îngrijorarea legitimă este reprezentată de începerea utilizării acestor produse de către adolescenți și tineri prin riscul de a deveni dependenți de nicotină și ulterior de a începe fumatul classic.</w:t>
      </w:r>
      <w:sdt>
        <w:sdtPr>
          <w:id w:val="-899520760"/>
          <w:citation/>
        </w:sdtPr>
        <w:sdtContent>
          <w:r>
            <w:fldChar w:fldCharType="begin"/>
          </w:r>
          <w:r>
            <w:rPr>
              <w:lang w:val="ro-RO"/>
            </w:rPr>
            <w:instrText xml:space="preserve"> CITATION Ricer \l 1048 </w:instrText>
          </w:r>
          <w:r>
            <w:fldChar w:fldCharType="separate"/>
          </w:r>
          <w:r w:rsidR="00CE4424">
            <w:rPr>
              <w:noProof/>
              <w:lang w:val="ro-RO"/>
            </w:rPr>
            <w:t xml:space="preserve"> (Riccardo Polosa, 2022 November)</w:t>
          </w:r>
          <w:r>
            <w:fldChar w:fldCharType="end"/>
          </w:r>
        </w:sdtContent>
      </w:sdt>
    </w:p>
    <w:p w14:paraId="1A2D817A" w14:textId="30DEE957" w:rsidR="00FF2378" w:rsidRDefault="00EB5A57" w:rsidP="006728CC">
      <w:r>
        <w:t>Un studiu de tip review privind efectele țig</w:t>
      </w:r>
      <w:r w:rsidR="00577C6F">
        <w:t>ă</w:t>
      </w:r>
      <w:r>
        <w:t>rilor elctronice asupra sănătății individuale și la nivelul sănătății publice realizat în anul 2020 a evidențiat p</w:t>
      </w:r>
      <w:r w:rsidR="00FF2378">
        <w:t xml:space="preserve">rintre efectele negative ale țigărilor electronice </w:t>
      </w:r>
      <w:r>
        <w:t>următoarele:</w:t>
      </w:r>
      <w:sdt>
        <w:sdtPr>
          <w:id w:val="-762068498"/>
          <w:citation/>
        </w:sdtPr>
        <w:sdtContent>
          <w:r w:rsidR="00FF2378">
            <w:fldChar w:fldCharType="begin"/>
          </w:r>
          <w:r>
            <w:rPr>
              <w:lang w:val="ro-RO"/>
            </w:rPr>
            <w:instrText xml:space="preserve">CITATION eilct \l 1048 </w:instrText>
          </w:r>
          <w:r w:rsidR="00FF2378">
            <w:fldChar w:fldCharType="separate"/>
          </w:r>
          <w:r w:rsidR="00CE4424">
            <w:rPr>
              <w:noProof/>
              <w:lang w:val="ro-RO"/>
            </w:rPr>
            <w:t xml:space="preserve"> (Seiler-Ramadas R, 2021 Oct)</w:t>
          </w:r>
          <w:r w:rsidR="00FF2378">
            <w:fldChar w:fldCharType="end"/>
          </w:r>
        </w:sdtContent>
      </w:sdt>
      <w:r w:rsidR="00FF2378">
        <w:t>:</w:t>
      </w:r>
    </w:p>
    <w:p w14:paraId="03DDE4CF" w14:textId="15E0E460" w:rsidR="00FF2378" w:rsidRDefault="00FF2378" w:rsidP="00EB5A57">
      <w:pPr>
        <w:pStyle w:val="ListParagraph"/>
        <w:numPr>
          <w:ilvl w:val="0"/>
          <w:numId w:val="13"/>
        </w:numPr>
      </w:pPr>
      <w:r>
        <w:t>Sistem respirator: reacții inflamatorii la nivel pulmonar cu scurtarea respirației, tuse, wheezing, iritare pulmonară și bronșică și deteriorarea funcției pulmonare</w:t>
      </w:r>
    </w:p>
    <w:p w14:paraId="558E8B96" w14:textId="49B417FC" w:rsidR="00FF2378" w:rsidRDefault="00FF2378" w:rsidP="00EB5A57">
      <w:pPr>
        <w:pStyle w:val="ListParagraph"/>
        <w:numPr>
          <w:ilvl w:val="0"/>
          <w:numId w:val="13"/>
        </w:numPr>
      </w:pPr>
      <w:r>
        <w:t>Sistem digestiv: inflamarea gingivală, greață, vomă, diaree</w:t>
      </w:r>
    </w:p>
    <w:p w14:paraId="62D5FA49" w14:textId="62F3BE1E" w:rsidR="00FF2378" w:rsidRDefault="00FF2378" w:rsidP="00EB5A57">
      <w:pPr>
        <w:pStyle w:val="ListParagraph"/>
        <w:numPr>
          <w:ilvl w:val="0"/>
          <w:numId w:val="13"/>
        </w:numPr>
      </w:pPr>
      <w:r>
        <w:t>Sistem cardio-vascular: tahicardie, creșterea tensiunii arteriale</w:t>
      </w:r>
    </w:p>
    <w:p w14:paraId="3BD17D02" w14:textId="4D3E7395" w:rsidR="00FF2378" w:rsidRDefault="00FF2378" w:rsidP="00EB5A57">
      <w:pPr>
        <w:pStyle w:val="ListParagraph"/>
        <w:numPr>
          <w:ilvl w:val="0"/>
          <w:numId w:val="13"/>
        </w:numPr>
      </w:pPr>
      <w:r>
        <w:t>Sistem neurologic: cefacee, iritabilitate, anxietate, dependență, insomnia</w:t>
      </w:r>
    </w:p>
    <w:p w14:paraId="341E87BF" w14:textId="1D581BF2" w:rsidR="00FF2378" w:rsidRDefault="00FF2378" w:rsidP="00EB5A57">
      <w:pPr>
        <w:pStyle w:val="ListParagraph"/>
        <w:numPr>
          <w:ilvl w:val="0"/>
          <w:numId w:val="13"/>
        </w:numPr>
      </w:pPr>
      <w:r>
        <w:t>Alte aparate și sisteme: iritare ocular, dermatită de contact, insufieciență renală acută, toxicitate și potential carcinogenetic.</w:t>
      </w:r>
    </w:p>
    <w:p w14:paraId="5834DD64" w14:textId="04C0C692" w:rsidR="00FF2378" w:rsidRDefault="00EB5A57" w:rsidP="00577C6F">
      <w:r>
        <w:t>Studiile incluse în review-ul mai sus amintit au evidențiat îmbunătățirea memoriei și semne de sevraj nicotinic la trecerea de la țigările clasice la țigările electronice. De asemenea, s-au raportat metaboliți toxici și carcinogeni într-o măsură mai mică la fumătorii de țigări electronice în comparație cu cei care utilizau țigările clasice.</w:t>
      </w:r>
      <w:r w:rsidR="0045308A">
        <w:t xml:space="preserve"> Totuși efectele pe termen lung ale acestor produse nu sunt încă </w:t>
      </w:r>
      <w:r w:rsidR="009C511F">
        <w:t xml:space="preserve">cercetate și </w:t>
      </w:r>
      <w:r w:rsidR="0045308A">
        <w:t>cunoscute.</w:t>
      </w:r>
      <w:r>
        <w:t xml:space="preserve"> Cu siguranță mai este nevoie de atenție și studii pe termen lung pentru a putea avea dovezi concludente asupra diferiților compuși chimici, ale diferitelor arome utilizate în dispozitivele electronice și efectelor acestora asociate expunerii active și pasive.</w:t>
      </w:r>
      <w:sdt>
        <w:sdtPr>
          <w:id w:val="878818211"/>
          <w:citation/>
        </w:sdtPr>
        <w:sdtContent>
          <w:r w:rsidR="0045308A">
            <w:fldChar w:fldCharType="begin"/>
          </w:r>
          <w:r w:rsidR="0045308A">
            <w:rPr>
              <w:lang w:val="ro-RO"/>
            </w:rPr>
            <w:instrText xml:space="preserve"> CITATION eilct \l 1048 </w:instrText>
          </w:r>
          <w:r w:rsidR="0045308A">
            <w:fldChar w:fldCharType="separate"/>
          </w:r>
          <w:r w:rsidR="00CE4424">
            <w:rPr>
              <w:noProof/>
              <w:lang w:val="ro-RO"/>
            </w:rPr>
            <w:t xml:space="preserve"> (Seiler-Ramadas R, 2021 Oct)</w:t>
          </w:r>
          <w:r w:rsidR="0045308A">
            <w:fldChar w:fldCharType="end"/>
          </w:r>
        </w:sdtContent>
      </w:sdt>
      <w:r w:rsidR="00577C6F">
        <w:t xml:space="preserve"> </w:t>
      </w:r>
    </w:p>
    <w:p w14:paraId="07DBC5E2" w14:textId="5E72FC91" w:rsidR="00577C6F" w:rsidRDefault="00577C6F" w:rsidP="00577C6F">
      <w:r>
        <w:t xml:space="preserve">Un alt studiu de tip review realizat în 2022 </w:t>
      </w:r>
      <w:r w:rsidR="00FB420B">
        <w:t xml:space="preserve">de Coral Giovacchini et all </w:t>
      </w:r>
      <w:r>
        <w:t xml:space="preserve">semnala că efectele negative ale țigărilor electronice depășesc orice potențial beneficiu ar putea avea acestea în comparație cu țigările </w:t>
      </w:r>
      <w:r>
        <w:lastRenderedPageBreak/>
        <w:t>convenționale, atât prin faptul</w:t>
      </w:r>
      <w:r w:rsidR="00C27788">
        <w:t xml:space="preserve"> că acestea prezintă riscuri pe termen scurt mai ales în ceea ce privește sănătatea pulmonară, cât și potențialului efect asupra sănătății publice dat de adoptarea fumatului de țigări electronice de către noi generații de consumatori de tutun.</w:t>
      </w:r>
      <w:sdt>
        <w:sdtPr>
          <w:id w:val="-2145343840"/>
          <w:citation/>
        </w:sdtPr>
        <w:sdtContent>
          <w:r w:rsidR="00C27788">
            <w:fldChar w:fldCharType="begin"/>
          </w:r>
          <w:r w:rsidR="00C27788">
            <w:rPr>
              <w:lang w:val="ro-RO"/>
            </w:rPr>
            <w:instrText xml:space="preserve"> CITATION Gioov \l 1048 </w:instrText>
          </w:r>
          <w:r w:rsidR="00C27788">
            <w:fldChar w:fldCharType="separate"/>
          </w:r>
          <w:r w:rsidR="00CE4424">
            <w:rPr>
              <w:noProof/>
              <w:lang w:val="ro-RO"/>
            </w:rPr>
            <w:t xml:space="preserve"> (Giovacchini CX, 2022 Nov)</w:t>
          </w:r>
          <w:r w:rsidR="00C27788">
            <w:fldChar w:fldCharType="end"/>
          </w:r>
        </w:sdtContent>
      </w:sdt>
    </w:p>
    <w:p w14:paraId="4A6CE718" w14:textId="2163AF14" w:rsidR="0045308A" w:rsidRDefault="00271AD0" w:rsidP="00577C6F">
      <w:r>
        <w:t>Vapatul în rândul adolescenților și tinerilor reprezintă o îngrijorare legitimă a medicilor în cee</w:t>
      </w:r>
      <w:r w:rsidR="000F4DDC">
        <w:t>a</w:t>
      </w:r>
      <w:r>
        <w:t xml:space="preserve"> ce privește riscul ca aceștia să devină dependenți de tutun la vârste mici și efectele adeverse ale țigărilor electronice asupra sistemului lor respirator aflat încă în dezvoltare. </w:t>
      </w:r>
      <w:sdt>
        <w:sdtPr>
          <w:id w:val="905422055"/>
          <w:citation/>
        </w:sdtPr>
        <w:sdtContent>
          <w:r>
            <w:fldChar w:fldCharType="begin"/>
          </w:r>
          <w:r>
            <w:rPr>
              <w:lang w:val="ro-RO"/>
            </w:rPr>
            <w:instrText xml:space="preserve"> CITATION Ricer \l 1048 </w:instrText>
          </w:r>
          <w:r>
            <w:fldChar w:fldCharType="separate"/>
          </w:r>
          <w:r w:rsidR="00CE4424">
            <w:rPr>
              <w:noProof/>
              <w:lang w:val="ro-RO"/>
            </w:rPr>
            <w:t>(Riccardo Polosa, 2022 November)</w:t>
          </w:r>
          <w:r>
            <w:fldChar w:fldCharType="end"/>
          </w:r>
        </w:sdtContent>
      </w:sdt>
    </w:p>
    <w:p w14:paraId="3D01914E" w14:textId="4E6E6E9C" w:rsidR="000F4DDC" w:rsidRDefault="000F4DDC" w:rsidP="00577C6F">
      <w:r>
        <w:t xml:space="preserve">Țigările electronice dau depedență, sunt dăunătoare pentru sănătate și ar trebui să fi reglementate pentru protejarea sănătății publice. Copiii și adolescenții care utilizează țigările electronice își pot dubla riscul de a fuma țigări. </w:t>
      </w:r>
      <w:sdt>
        <w:sdtPr>
          <w:id w:val="-450790142"/>
          <w:citation/>
        </w:sdtPr>
        <w:sdtContent>
          <w:r>
            <w:fldChar w:fldCharType="begin"/>
          </w:r>
          <w:r>
            <w:rPr>
              <w:lang w:val="ro-RO"/>
            </w:rPr>
            <w:instrText xml:space="preserve"> CITATION Worly \l 1048 </w:instrText>
          </w:r>
          <w:r>
            <w:fldChar w:fldCharType="separate"/>
          </w:r>
          <w:r w:rsidR="00CE4424">
            <w:rPr>
              <w:noProof/>
              <w:lang w:val="ro-RO"/>
            </w:rPr>
            <w:t>(World Health Organization, 2021 July)</w:t>
          </w:r>
          <w:r>
            <w:fldChar w:fldCharType="end"/>
          </w:r>
        </w:sdtContent>
      </w:sdt>
    </w:p>
    <w:p w14:paraId="50136793" w14:textId="77777777" w:rsidR="000F4DDC" w:rsidRPr="000F4DDC" w:rsidRDefault="000F4DDC" w:rsidP="00577C6F">
      <w:pPr>
        <w:rPr>
          <w:lang w:val="ro-RO"/>
        </w:rPr>
      </w:pPr>
    </w:p>
    <w:p w14:paraId="679FA0B3" w14:textId="60398248" w:rsidR="00E6166A" w:rsidRPr="00BC10D9" w:rsidRDefault="00E6166A" w:rsidP="005C0050">
      <w:pPr>
        <w:pStyle w:val="Heading2"/>
        <w:numPr>
          <w:ilvl w:val="0"/>
          <w:numId w:val="6"/>
        </w:numPr>
        <w:rPr>
          <w:bdr w:val="none" w:sz="0" w:space="0" w:color="auto" w:frame="1"/>
        </w:rPr>
      </w:pPr>
      <w:bookmarkStart w:id="13" w:name="_Toc132812359"/>
      <w:r w:rsidRPr="00BC10D9">
        <w:rPr>
          <w:bdr w:val="none" w:sz="0" w:space="0" w:color="auto" w:frame="1"/>
        </w:rPr>
        <w:t>Evidențe privind intervențiile pentru controlul consumului de tutun</w:t>
      </w:r>
      <w:bookmarkEnd w:id="13"/>
    </w:p>
    <w:p w14:paraId="71E4F1F4" w14:textId="5FFE1376" w:rsidR="00E6166A" w:rsidRDefault="004C5DBA" w:rsidP="004C5DBA">
      <w:r>
        <w:t>Printre intervențiile eficiente pentru reducerea expunerii la fum de țigară se numără măsurile legislative de i</w:t>
      </w:r>
      <w:r w:rsidR="00F83408">
        <w:t>nterzicerea fumatului în spațiile publice</w:t>
      </w:r>
      <w:r w:rsidR="00A26BED">
        <w:t>, de interzicere a</w:t>
      </w:r>
      <w:r w:rsidR="00F83408">
        <w:t xml:space="preserve"> vânzării de </w:t>
      </w:r>
      <w:r>
        <w:t>produse de tutun</w:t>
      </w:r>
      <w:r w:rsidR="00F83408">
        <w:t xml:space="preserve"> către persoanele în vârstă de sub 18 ani și restricțiile privind publicitatea</w:t>
      </w:r>
      <w:r w:rsidR="00A26BED">
        <w:t xml:space="preserve"> pentru produsele de tutun</w:t>
      </w:r>
      <w:r>
        <w:t>. Aceste</w:t>
      </w:r>
      <w:r w:rsidR="00A26BED">
        <w:t>a</w:t>
      </w:r>
      <w:r>
        <w:t xml:space="preserve"> sunt</w:t>
      </w:r>
      <w:r w:rsidR="00F83408">
        <w:t xml:space="preserve"> reglementate prin lege.</w:t>
      </w:r>
      <w:sdt>
        <w:sdtPr>
          <w:id w:val="-102880591"/>
          <w:citation/>
        </w:sdtPr>
        <w:sdtContent>
          <w:r w:rsidR="007E0567">
            <w:fldChar w:fldCharType="begin"/>
          </w:r>
          <w:r w:rsidR="007E0567">
            <w:rPr>
              <w:lang w:val="ro-RO"/>
            </w:rPr>
            <w:instrText xml:space="preserve"> CITATION 202 \l 1048 </w:instrText>
          </w:r>
          <w:r w:rsidR="007E0567">
            <w:fldChar w:fldCharType="separate"/>
          </w:r>
          <w:r w:rsidR="00CE4424">
            <w:rPr>
              <w:noProof/>
              <w:lang w:val="ro-RO"/>
            </w:rPr>
            <w:t xml:space="preserve"> (OECD , 2023)</w:t>
          </w:r>
          <w:r w:rsidR="007E0567">
            <w:fldChar w:fldCharType="end"/>
          </w:r>
        </w:sdtContent>
      </w:sdt>
    </w:p>
    <w:p w14:paraId="7CB030B0" w14:textId="37DF2BE7" w:rsidR="00360A40" w:rsidRPr="001B573D" w:rsidRDefault="00360A40" w:rsidP="00A73FE7">
      <w:r w:rsidRPr="00B3764B">
        <w:t>La nivelul</w:t>
      </w:r>
      <w:r>
        <w:t xml:space="preserve"> Uniunii Europene</w:t>
      </w:r>
      <w:r w:rsidRPr="00B3764B">
        <w:t xml:space="preserve">, Directiva </w:t>
      </w:r>
      <w:r>
        <w:t xml:space="preserve">2014/40/UE </w:t>
      </w:r>
      <w:r w:rsidRPr="00B3764B">
        <w:t>privind produsele din tutun</w:t>
      </w:r>
      <w:r>
        <w:t xml:space="preserve"> și implementată de statele membre, </w:t>
      </w:r>
      <w:r w:rsidRPr="00B3764B">
        <w:t>stabilește normele care reglementează fabricarea, prezentarea și vânzarea produselor din tutun și a produselor aferente, fiind destinată armonizării diferențelor dintre țări în domeniul controlului tutunului și, prin urmare, unei mai bune protejări a sănătății publice a populației.</w:t>
      </w:r>
    </w:p>
    <w:p w14:paraId="7EB5D267" w14:textId="77777777" w:rsidR="00A73FE7" w:rsidRDefault="00360A40" w:rsidP="00A73FE7">
      <w:r w:rsidRPr="00475560">
        <w:t xml:space="preserve">În ultimii ani, mai multe politici implementate în temeiul Directivei (2014/40/UE) au contribuit la reducerea prevalenței fumatului în rândul copiilor și adolescenților, printre acestea numărându-se: majorarea taxelor pe produsele din tutun, restricții privind achiziționarea de către tineri a produselor de tutun și, mai recent, interzicerea aromelor caracteristice din țigări și avertismente combinate de sănătate pentru produsele din tutun. </w:t>
      </w:r>
    </w:p>
    <w:p w14:paraId="2BC553A8" w14:textId="597007D2" w:rsidR="00360A40" w:rsidRPr="00A73FE7" w:rsidRDefault="00A73FE7" w:rsidP="00A73FE7">
      <w:r w:rsidRPr="00A73FE7">
        <w:t>În ultimele două decenii și în România au fost adoptate politici de control al tutunului. Printre acestea se numără interzicerea totală a fumatului în spațiile publice interzicerea publicității și a vânzării către minori și majorarea accizelor. Programele de renunțare la fumat și programele de prevenire a fumatului în rândul copiilor sunt oferite în mod oportunist.</w:t>
      </w:r>
    </w:p>
    <w:p w14:paraId="0B26B25E" w14:textId="679DB5E1" w:rsidR="00854515" w:rsidRPr="001448C1" w:rsidRDefault="00475560" w:rsidP="00A73FE7">
      <w:r w:rsidRPr="00A73FE7">
        <w:t>Într-un efort</w:t>
      </w:r>
      <w:r w:rsidRPr="00A73FE7">
        <w:rPr>
          <w:bCs/>
        </w:rPr>
        <w:t xml:space="preserve"> fără precedent, Uniunea Europeană a lansat Planul European de Combatere a Cancerului, al cărui parcurs de implementare în perioada 2021-2025 a fost publicat. </w:t>
      </w:r>
      <w:r w:rsidR="00854515" w:rsidRPr="001448C1">
        <w:t xml:space="preserve">Planul european de combatere a cancerului a stabilit un obiectiv ambițios de a crea o „generație fără tutun” în care mai puțin de 5% din populație să folosească tutun până în </w:t>
      </w:r>
      <w:r w:rsidR="00854515">
        <w:t>2040</w:t>
      </w:r>
      <w:r>
        <w:t xml:space="preserve"> </w:t>
      </w:r>
      <w:sdt>
        <w:sdtPr>
          <w:id w:val="1103384349"/>
          <w:citation/>
        </w:sdtPr>
        <w:sdtContent>
          <w:r>
            <w:fldChar w:fldCharType="begin"/>
          </w:r>
          <w:r w:rsidRPr="00A73FE7">
            <w:instrText xml:space="preserve"> CITATION 202 \l 1048 </w:instrText>
          </w:r>
          <w:r>
            <w:fldChar w:fldCharType="separate"/>
          </w:r>
          <w:r w:rsidR="00CE4424" w:rsidRPr="00CE4424">
            <w:rPr>
              <w:noProof/>
            </w:rPr>
            <w:t>(OECD , 2023)</w:t>
          </w:r>
          <w:r>
            <w:fldChar w:fldCharType="end"/>
          </w:r>
        </w:sdtContent>
      </w:sdt>
      <w:r w:rsidR="00854515" w:rsidRPr="001448C1">
        <w:t>.</w:t>
      </w:r>
    </w:p>
    <w:p w14:paraId="49048CCE" w14:textId="63A1D057" w:rsidR="00854515" w:rsidRDefault="00854515" w:rsidP="00811D70">
      <w:pPr>
        <w:rPr>
          <w:bdr w:val="none" w:sz="0" w:space="0" w:color="auto" w:frame="1"/>
          <w:shd w:val="clear" w:color="auto" w:fill="FFFFFF"/>
        </w:rPr>
      </w:pPr>
      <w:r w:rsidRPr="00A73FE7">
        <w:t xml:space="preserve">Este imperios ca țările semnatare să aplice cât mai rapid convenția cadru OMS-FCTC, întru-cât previziunile indică faptul că </w:t>
      </w:r>
      <w:r w:rsidRPr="00B3764B">
        <w:t>tutunul va ucide până la 1 miliard de oameni în acest secol.</w:t>
      </w:r>
      <w:r w:rsidRPr="00A73FE7">
        <w:t xml:space="preserve"> </w:t>
      </w:r>
      <w:r w:rsidR="00811D70">
        <w:t xml:space="preserve"> </w:t>
      </w:r>
      <w:hyperlink r:id="rId21" w:history="1">
        <w:r w:rsidRPr="007B0107">
          <w:rPr>
            <w:rStyle w:val="Hyperlink"/>
            <w:bdr w:val="none" w:sz="0" w:space="0" w:color="auto" w:frame="1"/>
            <w:shd w:val="clear" w:color="auto" w:fill="FFFFFF"/>
          </w:rPr>
          <w:t>https://cancer-code-europe.iarc.fr/index.php/ro/12-modalitati/tutun</w:t>
        </w:r>
      </w:hyperlink>
      <w:r>
        <w:rPr>
          <w:bdr w:val="none" w:sz="0" w:space="0" w:color="auto" w:frame="1"/>
          <w:shd w:val="clear" w:color="auto" w:fill="FFFFFF"/>
        </w:rPr>
        <w:t xml:space="preserve"> </w:t>
      </w:r>
    </w:p>
    <w:p w14:paraId="6E7C3A31" w14:textId="0AE61138" w:rsidR="00811D70" w:rsidRDefault="00811D70" w:rsidP="00811D70">
      <w:pPr>
        <w:rPr>
          <w:bdr w:val="none" w:sz="0" w:space="0" w:color="auto" w:frame="1"/>
          <w:shd w:val="clear" w:color="auto" w:fill="FFFFFF"/>
        </w:rPr>
      </w:pPr>
      <w:r>
        <w:rPr>
          <w:bdr w:val="none" w:sz="0" w:space="0" w:color="auto" w:frame="1"/>
          <w:shd w:val="clear" w:color="auto" w:fill="FFFFFF"/>
        </w:rPr>
        <w:t xml:space="preserve">Un alt punct îngrijorător </w:t>
      </w:r>
      <w:r w:rsidR="00577C6F">
        <w:rPr>
          <w:bdr w:val="none" w:sz="0" w:space="0" w:color="auto" w:frame="1"/>
          <w:shd w:val="clear" w:color="auto" w:fill="FFFFFF"/>
        </w:rPr>
        <w:t xml:space="preserve">actual </w:t>
      </w:r>
      <w:r>
        <w:rPr>
          <w:bdr w:val="none" w:sz="0" w:space="0" w:color="auto" w:frame="1"/>
          <w:shd w:val="clear" w:color="auto" w:fill="FFFFFF"/>
        </w:rPr>
        <w:t>este asociat creșterii utilizării țigărilor electronice, mai ales în rândul tinerilor. Din perspectiva controlului tutunului, sunt multe provocări ridicate de riscurile date de aceste produse noi de fumat. Chiar dacă se pare că trecerea de la fumatul conventional la fumatul cu dispositive electronice înseamnă trecerea la un produs care produce daune într-o măsură mai mică, se ridică problema utilizării acestor produse noi mai ales de către adolescenți</w:t>
      </w:r>
      <w:r w:rsidR="00236E72">
        <w:rPr>
          <w:bdr w:val="none" w:sz="0" w:space="0" w:color="auto" w:frame="1"/>
          <w:shd w:val="clear" w:color="auto" w:fill="FFFFFF"/>
        </w:rPr>
        <w:t>. Dacă adolescenții se îndreaptă către aceste produse noi,</w:t>
      </w:r>
      <w:r>
        <w:rPr>
          <w:bdr w:val="none" w:sz="0" w:space="0" w:color="auto" w:frame="1"/>
          <w:shd w:val="clear" w:color="auto" w:fill="FFFFFF"/>
        </w:rPr>
        <w:t xml:space="preserve"> ca rezultat al unor tehnici de marketing țintite către ei</w:t>
      </w:r>
      <w:r w:rsidR="00236E72">
        <w:rPr>
          <w:bdr w:val="none" w:sz="0" w:space="0" w:color="auto" w:frame="1"/>
          <w:shd w:val="clear" w:color="auto" w:fill="FFFFFF"/>
        </w:rPr>
        <w:t xml:space="preserve">, prin atragerea lor prin utilizarea unor arome și percepția că </w:t>
      </w:r>
      <w:r w:rsidR="00577C6F">
        <w:rPr>
          <w:bdr w:val="none" w:sz="0" w:space="0" w:color="auto" w:frame="1"/>
          <w:shd w:val="clear" w:color="auto" w:fill="FFFFFF"/>
        </w:rPr>
        <w:t xml:space="preserve">țigara electronica </w:t>
      </w:r>
      <w:r w:rsidR="00236E72">
        <w:rPr>
          <w:bdr w:val="none" w:sz="0" w:space="0" w:color="auto" w:frame="1"/>
          <w:shd w:val="clear" w:color="auto" w:fill="FFFFFF"/>
        </w:rPr>
        <w:t>este o ”alternativă mai sigură”</w:t>
      </w:r>
      <w:r w:rsidR="00577C6F">
        <w:rPr>
          <w:bdr w:val="none" w:sz="0" w:space="0" w:color="auto" w:frame="1"/>
          <w:shd w:val="clear" w:color="auto" w:fill="FFFFFF"/>
        </w:rPr>
        <w:t xml:space="preserve">, </w:t>
      </w:r>
      <w:r w:rsidR="00236E72">
        <w:rPr>
          <w:bdr w:val="none" w:sz="0" w:space="0" w:color="auto" w:frame="1"/>
          <w:shd w:val="clear" w:color="auto" w:fill="FFFFFF"/>
        </w:rPr>
        <w:t>există riscul ca toate progresele înregistrate în controlul epidemiei tabagice să fie pierdute.</w:t>
      </w:r>
      <w:r>
        <w:rPr>
          <w:bdr w:val="none" w:sz="0" w:space="0" w:color="auto" w:frame="1"/>
          <w:shd w:val="clear" w:color="auto" w:fill="FFFFFF"/>
        </w:rPr>
        <w:t xml:space="preserve"> </w:t>
      </w:r>
      <w:sdt>
        <w:sdtPr>
          <w:rPr>
            <w:bdr w:val="none" w:sz="0" w:space="0" w:color="auto" w:frame="1"/>
            <w:shd w:val="clear" w:color="auto" w:fill="FFFFFF"/>
          </w:rPr>
          <w:id w:val="-560319785"/>
          <w:citation/>
        </w:sdtPr>
        <w:sdtContent>
          <w:r>
            <w:rPr>
              <w:bdr w:val="none" w:sz="0" w:space="0" w:color="auto" w:frame="1"/>
              <w:shd w:val="clear" w:color="auto" w:fill="FFFFFF"/>
            </w:rPr>
            <w:fldChar w:fldCharType="begin"/>
          </w:r>
          <w:r>
            <w:rPr>
              <w:bdr w:val="none" w:sz="0" w:space="0" w:color="auto" w:frame="1"/>
              <w:shd w:val="clear" w:color="auto" w:fill="FFFFFF"/>
              <w:lang w:val="ro-RO"/>
            </w:rPr>
            <w:instrText xml:space="preserve"> CITATION Bha19 \l 1048 </w:instrText>
          </w:r>
          <w:r>
            <w:rPr>
              <w:bdr w:val="none" w:sz="0" w:space="0" w:color="auto" w:frame="1"/>
              <w:shd w:val="clear" w:color="auto" w:fill="FFFFFF"/>
            </w:rPr>
            <w:fldChar w:fldCharType="separate"/>
          </w:r>
          <w:r w:rsidR="00CE4424" w:rsidRPr="00CE4424">
            <w:rPr>
              <w:noProof/>
              <w:bdr w:val="none" w:sz="0" w:space="0" w:color="auto" w:frame="1"/>
              <w:shd w:val="clear" w:color="auto" w:fill="FFFFFF"/>
              <w:lang w:val="ro-RO"/>
            </w:rPr>
            <w:t>(Bhalerao A, 2019)</w:t>
          </w:r>
          <w:r>
            <w:rPr>
              <w:bdr w:val="none" w:sz="0" w:space="0" w:color="auto" w:frame="1"/>
              <w:shd w:val="clear" w:color="auto" w:fill="FFFFFF"/>
            </w:rPr>
            <w:fldChar w:fldCharType="end"/>
          </w:r>
        </w:sdtContent>
      </w:sdt>
    </w:p>
    <w:p w14:paraId="195FECB3" w14:textId="0373B553" w:rsidR="003E4B88" w:rsidRDefault="007728CA" w:rsidP="00811D70">
      <w:r>
        <w:lastRenderedPageBreak/>
        <w:t>În present țările se confruntă cu situația generată de produsele noi emergente de tipul ENDS (Electronic Nicotine Delivery Systems) și HTP (Heated Tobacco Products). Marketingul și comercializarea acestor dispozitive pot permite companiilor de tutun să ocolească interdicțiile de publicitate și consum în spații publice.</w:t>
      </w:r>
      <w:sdt>
        <w:sdtPr>
          <w:id w:val="-2108034966"/>
          <w:citation/>
        </w:sdtPr>
        <w:sdtContent>
          <w:r w:rsidR="003E4B88">
            <w:fldChar w:fldCharType="begin"/>
          </w:r>
          <w:r w:rsidR="003E4B88">
            <w:rPr>
              <w:lang w:val="ro-RO"/>
            </w:rPr>
            <w:instrText xml:space="preserve"> CITATION Worly \l 1048 </w:instrText>
          </w:r>
          <w:r w:rsidR="003E4B88">
            <w:fldChar w:fldCharType="separate"/>
          </w:r>
          <w:r w:rsidR="00CE4424">
            <w:rPr>
              <w:noProof/>
              <w:lang w:val="ro-RO"/>
            </w:rPr>
            <w:t xml:space="preserve"> (World Health Organization, 2021 July)</w:t>
          </w:r>
          <w:r w:rsidR="003E4B88">
            <w:fldChar w:fldCharType="end"/>
          </w:r>
        </w:sdtContent>
      </w:sdt>
    </w:p>
    <w:p w14:paraId="3320D238" w14:textId="4ABE172E" w:rsidR="007728CA" w:rsidRDefault="007728CA" w:rsidP="00811D70">
      <w:pPr>
        <w:rPr>
          <w:bdr w:val="none" w:sz="0" w:space="0" w:color="auto" w:frame="1"/>
          <w:shd w:val="clear" w:color="auto" w:fill="FFFFFF"/>
        </w:rPr>
      </w:pPr>
      <w:r>
        <w:t>Companiile de tutun au organizat campanii de marketing agresive pentru a introduce HTP în consum. Dispozitivele de încălzire sunt comercializate ca produse sofisticate, de înaltă tehnologie, care oferă utilizatorilor o modalitate de a se bucura de produse din tutun „cu risc redus” și „fără fum”. În cadrul strategiei de promovare, marketingul prin intermediul rețelelor sociale a fost un element cheie. Conform datelor din cel mai recent raport al OMS referitor la produsele nou emergente, există riscul ca folosirea ENDS și HTP în locuri publice unde fumatul este interzis să ”renormalizeze” fumatul în spații publice</w:t>
      </w:r>
      <w:r w:rsidR="003E4B88">
        <w:t>.</w:t>
      </w:r>
      <w:sdt>
        <w:sdtPr>
          <w:id w:val="778460170"/>
          <w:citation/>
        </w:sdtPr>
        <w:sdtContent>
          <w:r w:rsidR="003E4B88">
            <w:fldChar w:fldCharType="begin"/>
          </w:r>
          <w:r w:rsidR="003E4B88">
            <w:rPr>
              <w:lang w:val="ro-RO"/>
            </w:rPr>
            <w:instrText xml:space="preserve"> CITATION Worly \l 1048 </w:instrText>
          </w:r>
          <w:r w:rsidR="003E4B88">
            <w:fldChar w:fldCharType="separate"/>
          </w:r>
          <w:r w:rsidR="00CE4424">
            <w:rPr>
              <w:noProof/>
              <w:lang w:val="ro-RO"/>
            </w:rPr>
            <w:t xml:space="preserve"> (World Health Organization, 2021 July)</w:t>
          </w:r>
          <w:r w:rsidR="003E4B88">
            <w:fldChar w:fldCharType="end"/>
          </w:r>
        </w:sdtContent>
      </w:sdt>
    </w:p>
    <w:p w14:paraId="2FE43F45" w14:textId="17288123" w:rsidR="007728CA" w:rsidRPr="009B56E8" w:rsidRDefault="007728CA" w:rsidP="00811D70">
      <w:r>
        <w:t xml:space="preserve">Conferința părților la Convenția - </w:t>
      </w:r>
      <w:r w:rsidR="009B56E8">
        <w:t>C</w:t>
      </w:r>
      <w:r>
        <w:t xml:space="preserve">adru a OMS privind Controlul </w:t>
      </w:r>
      <w:r w:rsidR="009B56E8">
        <w:t>T</w:t>
      </w:r>
      <w:r>
        <w:t>utunului (FCTC OMS) recunoaște produsele cu tutun încălzit (HTP) sunt de asemenea produse din tutun și, prin urmare, le consideră a fi supuse prevederil</w:t>
      </w:r>
      <w:r w:rsidR="009B56E8">
        <w:t>or acestei convenții</w:t>
      </w:r>
      <w:r>
        <w:t xml:space="preserve"> </w:t>
      </w:r>
      <w:r w:rsidR="009B56E8">
        <w:t>FCTC –</w:t>
      </w:r>
      <w:r>
        <w:t xml:space="preserve"> OMS</w:t>
      </w:r>
      <w:r w:rsidR="009B56E8">
        <w:t xml:space="preserve">. </w:t>
      </w:r>
      <w:sdt>
        <w:sdtPr>
          <w:id w:val="422307174"/>
          <w:citation/>
        </w:sdtPr>
        <w:sdtContent>
          <w:r w:rsidR="009B56E8">
            <w:fldChar w:fldCharType="begin"/>
          </w:r>
          <w:r w:rsidR="009B56E8">
            <w:rPr>
              <w:lang w:val="ro-RO"/>
            </w:rPr>
            <w:instrText xml:space="preserve"> CITATION Wor20 \l 1048 </w:instrText>
          </w:r>
          <w:r w:rsidR="009B56E8">
            <w:fldChar w:fldCharType="separate"/>
          </w:r>
          <w:r w:rsidR="00CE4424">
            <w:rPr>
              <w:noProof/>
              <w:lang w:val="ro-RO"/>
            </w:rPr>
            <w:t>(World Health Organization, 2020)</w:t>
          </w:r>
          <w:r w:rsidR="009B56E8">
            <w:fldChar w:fldCharType="end"/>
          </w:r>
        </w:sdtContent>
      </w:sdt>
    </w:p>
    <w:p w14:paraId="23235826" w14:textId="7CA56335" w:rsidR="00475560" w:rsidRDefault="00475560">
      <w:pPr>
        <w:spacing w:before="0" w:after="0"/>
        <w:jc w:val="left"/>
        <w:rPr>
          <w:bdr w:val="none" w:sz="0" w:space="0" w:color="auto" w:frame="1"/>
          <w:shd w:val="clear" w:color="auto" w:fill="FFFFFF"/>
        </w:rPr>
      </w:pPr>
      <w:r>
        <w:rPr>
          <w:bdr w:val="none" w:sz="0" w:space="0" w:color="auto" w:frame="1"/>
          <w:shd w:val="clear" w:color="auto" w:fill="FFFFFF"/>
        </w:rPr>
        <w:br w:type="page"/>
      </w:r>
    </w:p>
    <w:p w14:paraId="7D6A8BBB" w14:textId="77777777" w:rsidR="00D665FD" w:rsidRPr="00D665FD" w:rsidRDefault="00D665FD" w:rsidP="00D665FD">
      <w:pPr>
        <w:pStyle w:val="Heading2"/>
        <w:numPr>
          <w:ilvl w:val="0"/>
          <w:numId w:val="6"/>
        </w:numPr>
        <w:spacing w:before="120" w:after="120"/>
        <w:rPr>
          <w:bdr w:val="none" w:sz="0" w:space="0" w:color="auto" w:frame="1"/>
        </w:rPr>
      </w:pPr>
      <w:bookmarkStart w:id="14" w:name="_Toc132812360"/>
      <w:r w:rsidRPr="00D665FD">
        <w:rPr>
          <w:bdr w:val="none" w:sz="0" w:space="0" w:color="auto" w:frame="1"/>
        </w:rPr>
        <w:lastRenderedPageBreak/>
        <w:t>Prezentarea succintă și analiza grupurilor țintă</w:t>
      </w:r>
      <w:bookmarkEnd w:id="14"/>
    </w:p>
    <w:p w14:paraId="010FBCB1" w14:textId="6E5B8789" w:rsidR="00D665FD" w:rsidRDefault="007A1D98" w:rsidP="00D665FD">
      <w:pPr>
        <w:pStyle w:val="Heading3"/>
      </w:pPr>
      <w:bookmarkStart w:id="15" w:name="_Toc132812361"/>
      <w:r>
        <w:t>Consumul de tutun în rândul adolescenț</w:t>
      </w:r>
      <w:r w:rsidR="00C65A1B" w:rsidRPr="001C48E8">
        <w:t>ilor</w:t>
      </w:r>
      <w:r w:rsidR="009A3A1F">
        <w:t xml:space="preserve"> </w:t>
      </w:r>
      <w:r w:rsidR="00600473">
        <w:t>– vârsta de începere a fumatului</w:t>
      </w:r>
      <w:bookmarkEnd w:id="15"/>
    </w:p>
    <w:p w14:paraId="79B7A94D" w14:textId="42FBACB4" w:rsidR="00D665FD" w:rsidRDefault="0063435A" w:rsidP="00D665FD">
      <w:pPr>
        <w:autoSpaceDE w:val="0"/>
        <w:autoSpaceDN w:val="0"/>
        <w:adjustRightInd w:val="0"/>
        <w:spacing w:after="0"/>
        <w:contextualSpacing/>
      </w:pPr>
      <w:r w:rsidRPr="003D4197">
        <w:t xml:space="preserve">Fumatul </w:t>
      </w:r>
      <w:r w:rsidR="00554D21" w:rsidRPr="003D4197">
        <w:t xml:space="preserve">timpuriu </w:t>
      </w:r>
      <w:r w:rsidR="00C65A1B" w:rsidRPr="003D4197">
        <w:t>în</w:t>
      </w:r>
      <w:r w:rsidR="00A169CD" w:rsidRPr="003D4197">
        <w:t>ceput î</w:t>
      </w:r>
      <w:r w:rsidR="00554D21" w:rsidRPr="003D4197">
        <w:t>n</w:t>
      </w:r>
      <w:r w:rsidR="00C65A1B" w:rsidRPr="003D4197">
        <w:t xml:space="preserve"> copilărie și adolescenț</w:t>
      </w:r>
      <w:r w:rsidR="00554D21" w:rsidRPr="003D4197">
        <w:t xml:space="preserve">ă </w:t>
      </w:r>
      <w:r w:rsidR="00A169CD" w:rsidRPr="003D4197">
        <w:t>reprezintă</w:t>
      </w:r>
      <w:r w:rsidR="00614FDC" w:rsidRPr="003D4197">
        <w:t xml:space="preserve"> un risc cu </w:t>
      </w:r>
      <w:r w:rsidR="00554D21" w:rsidRPr="003D4197">
        <w:t>consecințe im</w:t>
      </w:r>
      <w:r w:rsidRPr="003D4197">
        <w:t xml:space="preserve">ediate </w:t>
      </w:r>
      <w:r w:rsidR="00C65A1B" w:rsidRPr="003D4197">
        <w:t>și pe termen lung asupra sănătății, crescând riscurile de boli cardiovasculare, respiratorii și cancer.</w:t>
      </w:r>
      <w:r w:rsidR="0027318B" w:rsidRPr="003D4197">
        <w:t xml:space="preserve"> </w:t>
      </w:r>
    </w:p>
    <w:p w14:paraId="4C1D4BA2" w14:textId="42714B54" w:rsidR="00086385" w:rsidRPr="003D4197" w:rsidRDefault="008F10DF" w:rsidP="00D665FD">
      <w:pPr>
        <w:autoSpaceDE w:val="0"/>
        <w:autoSpaceDN w:val="0"/>
        <w:adjustRightInd w:val="0"/>
        <w:spacing w:after="0"/>
        <w:contextualSpacing/>
      </w:pPr>
      <w:r>
        <w:t>Datorită particularităților perioadei de adolescență, o perioadă complexă de dezvoltare biologică și umană tinerii sunt predispuși să comportamentale</w:t>
      </w:r>
    </w:p>
    <w:p w14:paraId="55BD76C0" w14:textId="09F7FBF0" w:rsidR="00D665FD" w:rsidRDefault="00D665FD" w:rsidP="00D665FD">
      <w:pPr>
        <w:autoSpaceDE w:val="0"/>
        <w:autoSpaceDN w:val="0"/>
        <w:adjustRightInd w:val="0"/>
        <w:spacing w:after="0"/>
        <w:contextualSpacing/>
      </w:pPr>
      <w:r w:rsidRPr="003D4197">
        <w:t xml:space="preserve">La nivel mondial s-a constatat că 9 din 10 fumători încep să fumeze înainte de împlinirea vârstei de 25 de ani și 2 din 10 fumători încep să fumeze cu regularitate înainte de împlinirea vârstei de 15 ani. </w:t>
      </w:r>
      <w:sdt>
        <w:sdtPr>
          <w:id w:val="1089963381"/>
          <w:citation/>
        </w:sdtPr>
        <w:sdtContent>
          <w:r w:rsidRPr="003D4197">
            <w:fldChar w:fldCharType="begin"/>
          </w:r>
          <w:r w:rsidRPr="003D4197">
            <w:rPr>
              <w:lang w:val="ro-RO"/>
            </w:rPr>
            <w:instrText xml:space="preserve"> CITATION Rei211 \l 1048 </w:instrText>
          </w:r>
          <w:r w:rsidRPr="003D4197">
            <w:fldChar w:fldCharType="separate"/>
          </w:r>
          <w:r w:rsidR="00CE4424">
            <w:rPr>
              <w:noProof/>
              <w:lang w:val="ro-RO"/>
            </w:rPr>
            <w:t>(Reitsma MB, Spatial, temporal, and demographic patterns in prevalence of smoking tobacco use and initiation among young people in 204 countries and territories, 1990–2019. publish, 2021)</w:t>
          </w:r>
          <w:r w:rsidRPr="003D4197">
            <w:fldChar w:fldCharType="end"/>
          </w:r>
        </w:sdtContent>
      </w:sdt>
    </w:p>
    <w:p w14:paraId="09251D2A" w14:textId="77777777" w:rsidR="00475560" w:rsidRDefault="00475560" w:rsidP="00D665FD">
      <w:pPr>
        <w:autoSpaceDE w:val="0"/>
        <w:autoSpaceDN w:val="0"/>
        <w:adjustRightInd w:val="0"/>
        <w:spacing w:after="0"/>
        <w:contextualSpacing/>
      </w:pPr>
    </w:p>
    <w:p w14:paraId="198ED287" w14:textId="77777777" w:rsidR="00475560" w:rsidRDefault="00475560" w:rsidP="00475560">
      <w:pPr>
        <w:autoSpaceDE w:val="0"/>
        <w:autoSpaceDN w:val="0"/>
        <w:adjustRightInd w:val="0"/>
        <w:spacing w:after="0"/>
        <w:contextualSpacing/>
      </w:pPr>
      <w:r w:rsidRPr="003D4197">
        <w:t>Figura</w:t>
      </w:r>
      <w:r>
        <w:t xml:space="preserve"> 7</w:t>
      </w:r>
      <w:r w:rsidRPr="003D4197">
        <w:t>.</w:t>
      </w:r>
      <w:r>
        <w:t xml:space="preserve"> Distribuția fumătorilor în funcție de vârsta de debut a fumatului în mod regulat </w:t>
      </w:r>
    </w:p>
    <w:p w14:paraId="2A1A2107" w14:textId="77777777" w:rsidR="00475560" w:rsidRPr="00475560" w:rsidRDefault="00475560" w:rsidP="00D665FD">
      <w:pPr>
        <w:autoSpaceDE w:val="0"/>
        <w:autoSpaceDN w:val="0"/>
        <w:adjustRightInd w:val="0"/>
        <w:spacing w:after="0"/>
        <w:contextualSpacing/>
        <w:rPr>
          <w:sz w:val="14"/>
          <w:szCs w:val="14"/>
        </w:rPr>
      </w:pPr>
    </w:p>
    <w:p w14:paraId="3337E680" w14:textId="0EABAD6B" w:rsidR="00D665FD" w:rsidRDefault="003D4197" w:rsidP="00D23FBE">
      <w:pPr>
        <w:autoSpaceDE w:val="0"/>
        <w:autoSpaceDN w:val="0"/>
        <w:adjustRightInd w:val="0"/>
        <w:spacing w:after="0"/>
        <w:contextualSpacing/>
        <w:jc w:val="center"/>
      </w:pPr>
      <w:r w:rsidRPr="003D4197">
        <w:rPr>
          <w:noProof/>
        </w:rPr>
        <w:drawing>
          <wp:inline distT="0" distB="0" distL="0" distR="0" wp14:anchorId="01C5DAE5" wp14:editId="1E6B2A88">
            <wp:extent cx="5806943" cy="29415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806943" cy="2941575"/>
                    </a:xfrm>
                    <a:prstGeom prst="rect">
                      <a:avLst/>
                    </a:prstGeom>
                  </pic:spPr>
                </pic:pic>
              </a:graphicData>
            </a:graphic>
          </wp:inline>
        </w:drawing>
      </w:r>
    </w:p>
    <w:p w14:paraId="6B2897F8" w14:textId="0F5AE47B" w:rsidR="001C1E36" w:rsidRDefault="001C1E36" w:rsidP="00D665FD">
      <w:pPr>
        <w:autoSpaceDE w:val="0"/>
        <w:autoSpaceDN w:val="0"/>
        <w:adjustRightInd w:val="0"/>
        <w:spacing w:after="0"/>
        <w:contextualSpacing/>
      </w:pPr>
    </w:p>
    <w:p w14:paraId="5A72854E" w14:textId="3DBF912E" w:rsidR="001C1E36" w:rsidRPr="003D5CD7" w:rsidRDefault="001C1E36" w:rsidP="001C1E36">
      <w:r w:rsidRPr="00D10BB7">
        <w:rPr>
          <w:color w:val="000000"/>
        </w:rPr>
        <w:t xml:space="preserve">Studiul ESPAD (European School Survey Project on Alcohol and Other Drugs) este </w:t>
      </w:r>
      <w:r>
        <w:rPr>
          <w:color w:val="000000"/>
        </w:rPr>
        <w:t xml:space="preserve">un proiect de cercetare independent care se realizeză în mai mult de 40 de țări europene având drept scop să colecteze date comparabile despre uzul de substanțe și alte forme de comportamente la risc pentru sănătate de la elevii din grupa de vârstă 15-16 ani, pentru a monitoriza evoluția și pentru a face comparații între țări. Începând din 1995 </w:t>
      </w:r>
      <w:r w:rsidRPr="003D5CD7">
        <w:t>până în 2019 s-au derulat 7 etape de colectare de date.</w:t>
      </w:r>
      <w:sdt>
        <w:sdtPr>
          <w:id w:val="-923877091"/>
          <w:citation/>
        </w:sdtPr>
        <w:sdtContent>
          <w:r w:rsidRPr="003D5CD7">
            <w:fldChar w:fldCharType="begin"/>
          </w:r>
          <w:r w:rsidRPr="003D5CD7">
            <w:rPr>
              <w:lang w:val="ro-RO"/>
            </w:rPr>
            <w:instrText xml:space="preserve"> CITATION Ins23 \l 1048 </w:instrText>
          </w:r>
          <w:r w:rsidRPr="003D5CD7">
            <w:fldChar w:fldCharType="separate"/>
          </w:r>
          <w:r w:rsidR="00CE4424">
            <w:rPr>
              <w:noProof/>
              <w:lang w:val="ro-RO"/>
            </w:rPr>
            <w:t xml:space="preserve"> (Institute of Clinical Physiology, National Research Council of Italy, 2023)</w:t>
          </w:r>
          <w:r w:rsidRPr="003D5CD7">
            <w:fldChar w:fldCharType="end"/>
          </w:r>
        </w:sdtContent>
      </w:sdt>
      <w:r w:rsidRPr="003D5CD7">
        <w:t xml:space="preserve"> </w:t>
      </w:r>
    </w:p>
    <w:p w14:paraId="5320550F" w14:textId="7B5C4944" w:rsidR="001C1E36" w:rsidRPr="003D5CD7" w:rsidRDefault="003D5CD7" w:rsidP="003D5CD7">
      <w:r w:rsidRPr="003D5CD7">
        <w:t>Conform datelor studiului ESPAD, în medie, între anii 1995 și 2003 prevalența debutului fumatului zilnic înainte de vârsta prag de 13 ani considerate în studi</w:t>
      </w:r>
      <w:r w:rsidR="00086385">
        <w:t>u</w:t>
      </w:r>
      <w:r w:rsidRPr="003D5CD7">
        <w:t xml:space="preserve"> a fost de 10% dintre repondenți. Această prevelență a fost semnificativ mai mica în anul 2019, când doar 3% dintre respondenți au declarant debutul fumatului înainte de 13 ani </w:t>
      </w:r>
      <w:r w:rsidR="001C1E36" w:rsidRPr="003D5CD7">
        <w:t xml:space="preserve">(sau la 4% dacă sunt incluse țigările electronice). (p.91). </w:t>
      </w:r>
      <w:r w:rsidR="001C1E36" w:rsidRPr="003D5CD7">
        <w:rPr>
          <w:bCs/>
        </w:rPr>
        <w:t>Această tendință indică o scădere mai mare a ratei de debut al fumatului zilnic în ultimii 10 ani (Tab. 3).</w:t>
      </w:r>
    </w:p>
    <w:p w14:paraId="1A6BF1C0" w14:textId="02A3A11F" w:rsidR="001C1E36" w:rsidRPr="005C3FBF" w:rsidRDefault="00E70933" w:rsidP="001C1E36">
      <w:pPr>
        <w:autoSpaceDE w:val="0"/>
        <w:autoSpaceDN w:val="0"/>
        <w:adjustRightInd w:val="0"/>
        <w:spacing w:after="0"/>
        <w:rPr>
          <w:bCs/>
        </w:rPr>
      </w:pPr>
      <w:r>
        <w:rPr>
          <w:bCs/>
        </w:rPr>
        <w:t>În România întrebarea referitoare la debutul fumatului zilnic la adolescenți a fost adresatî în etapa studiului derulată în anul 2019, etapă în care a reieșit o prevalență a debutului fumatului zilnic înainte de 13 ani de 5%.</w:t>
      </w:r>
      <w:r w:rsidR="00086385">
        <w:rPr>
          <w:bCs/>
        </w:rPr>
        <w:t xml:space="preserve"> (Tabelul 3)</w:t>
      </w:r>
    </w:p>
    <w:p w14:paraId="3EB0653A" w14:textId="77777777" w:rsidR="00E70933" w:rsidRDefault="00E70933" w:rsidP="001C1E36">
      <w:pPr>
        <w:autoSpaceDE w:val="0"/>
        <w:autoSpaceDN w:val="0"/>
        <w:adjustRightInd w:val="0"/>
        <w:spacing w:after="0"/>
      </w:pPr>
    </w:p>
    <w:p w14:paraId="710B1CC6" w14:textId="77777777" w:rsidR="00E70933" w:rsidRDefault="00E70933" w:rsidP="001C1E36">
      <w:pPr>
        <w:autoSpaceDE w:val="0"/>
        <w:autoSpaceDN w:val="0"/>
        <w:adjustRightInd w:val="0"/>
        <w:spacing w:after="0"/>
      </w:pPr>
    </w:p>
    <w:p w14:paraId="603F8B70" w14:textId="102831CC" w:rsidR="001C1E36" w:rsidRPr="005C3FBF" w:rsidRDefault="001C1E36" w:rsidP="001C1E36">
      <w:pPr>
        <w:autoSpaceDE w:val="0"/>
        <w:autoSpaceDN w:val="0"/>
        <w:adjustRightInd w:val="0"/>
        <w:spacing w:after="0"/>
      </w:pPr>
      <w:r>
        <w:t>Ta</w:t>
      </w:r>
      <w:r w:rsidR="00E70933">
        <w:t xml:space="preserve">bel </w:t>
      </w:r>
      <w:r>
        <w:t>3</w:t>
      </w:r>
      <w:r w:rsidR="00E70933">
        <w:t>.</w:t>
      </w:r>
      <w:r>
        <w:t xml:space="preserve"> </w:t>
      </w:r>
      <w:r w:rsidRPr="005C3FBF">
        <w:t xml:space="preserve">Media ESPAD pentru </w:t>
      </w:r>
      <w:r>
        <w:t xml:space="preserve">indicatorii selectați din </w:t>
      </w:r>
      <w:r w:rsidRPr="005C3FBF">
        <w:t>30 de</w:t>
      </w:r>
      <w:r>
        <w:t xml:space="preserve"> țări între anii 1995-2019 </w:t>
      </w:r>
      <w:r w:rsidRPr="005C3FBF">
        <w:t>(p.91)</w:t>
      </w:r>
    </w:p>
    <w:tbl>
      <w:tblPr>
        <w:tblStyle w:val="TableGrid"/>
        <w:tblW w:w="0" w:type="auto"/>
        <w:tblLook w:val="04A0" w:firstRow="1" w:lastRow="0" w:firstColumn="1" w:lastColumn="0" w:noHBand="0" w:noVBand="1"/>
      </w:tblPr>
      <w:tblGrid>
        <w:gridCol w:w="2526"/>
        <w:gridCol w:w="656"/>
        <w:gridCol w:w="656"/>
        <w:gridCol w:w="696"/>
        <w:gridCol w:w="656"/>
        <w:gridCol w:w="656"/>
        <w:gridCol w:w="687"/>
        <w:gridCol w:w="656"/>
        <w:gridCol w:w="1150"/>
        <w:gridCol w:w="1011"/>
      </w:tblGrid>
      <w:tr w:rsidR="00086385" w:rsidRPr="003D5CD7" w14:paraId="456B25C9" w14:textId="77777777" w:rsidTr="00086385">
        <w:tc>
          <w:tcPr>
            <w:tcW w:w="2547" w:type="dxa"/>
          </w:tcPr>
          <w:p w14:paraId="79E5E4F2" w14:textId="7CFCA9E8" w:rsidR="003D5CD7" w:rsidRPr="003D5CD7" w:rsidRDefault="003D5CD7" w:rsidP="001C1E36">
            <w:pPr>
              <w:autoSpaceDE w:val="0"/>
              <w:autoSpaceDN w:val="0"/>
              <w:adjustRightInd w:val="0"/>
              <w:spacing w:after="0"/>
              <w:rPr>
                <w:b/>
                <w:bCs/>
              </w:rPr>
            </w:pPr>
            <w:r w:rsidRPr="003D5CD7">
              <w:rPr>
                <w:b/>
                <w:bCs/>
              </w:rPr>
              <w:t>Măsura</w:t>
            </w:r>
          </w:p>
        </w:tc>
        <w:tc>
          <w:tcPr>
            <w:tcW w:w="631" w:type="dxa"/>
          </w:tcPr>
          <w:p w14:paraId="038D22E9" w14:textId="6B124AFC" w:rsidR="003D5CD7" w:rsidRPr="003D5CD7" w:rsidRDefault="003D5CD7" w:rsidP="001C1E36">
            <w:pPr>
              <w:autoSpaceDE w:val="0"/>
              <w:autoSpaceDN w:val="0"/>
              <w:adjustRightInd w:val="0"/>
              <w:spacing w:after="0"/>
              <w:rPr>
                <w:b/>
                <w:bCs/>
              </w:rPr>
            </w:pPr>
            <w:r w:rsidRPr="003D5CD7">
              <w:rPr>
                <w:b/>
                <w:bCs/>
              </w:rPr>
              <w:t>1995</w:t>
            </w:r>
          </w:p>
        </w:tc>
        <w:tc>
          <w:tcPr>
            <w:tcW w:w="656" w:type="dxa"/>
          </w:tcPr>
          <w:p w14:paraId="5880F605" w14:textId="203AF74B" w:rsidR="003D5CD7" w:rsidRPr="003D5CD7" w:rsidRDefault="003D5CD7" w:rsidP="001C1E36">
            <w:pPr>
              <w:autoSpaceDE w:val="0"/>
              <w:autoSpaceDN w:val="0"/>
              <w:adjustRightInd w:val="0"/>
              <w:spacing w:after="0"/>
              <w:rPr>
                <w:b/>
                <w:bCs/>
              </w:rPr>
            </w:pPr>
            <w:r w:rsidRPr="003D5CD7">
              <w:rPr>
                <w:b/>
                <w:bCs/>
              </w:rPr>
              <w:t>1999</w:t>
            </w:r>
          </w:p>
        </w:tc>
        <w:tc>
          <w:tcPr>
            <w:tcW w:w="697" w:type="dxa"/>
          </w:tcPr>
          <w:p w14:paraId="666B128D" w14:textId="04394C77" w:rsidR="003D5CD7" w:rsidRPr="003D5CD7" w:rsidRDefault="003D5CD7" w:rsidP="001C1E36">
            <w:pPr>
              <w:autoSpaceDE w:val="0"/>
              <w:autoSpaceDN w:val="0"/>
              <w:adjustRightInd w:val="0"/>
              <w:spacing w:after="0"/>
              <w:rPr>
                <w:b/>
                <w:bCs/>
              </w:rPr>
            </w:pPr>
            <w:r w:rsidRPr="003D5CD7">
              <w:rPr>
                <w:b/>
                <w:bCs/>
              </w:rPr>
              <w:t>2003</w:t>
            </w:r>
          </w:p>
        </w:tc>
        <w:tc>
          <w:tcPr>
            <w:tcW w:w="656" w:type="dxa"/>
          </w:tcPr>
          <w:p w14:paraId="34B3AB47" w14:textId="5BF9B9F9" w:rsidR="003D5CD7" w:rsidRPr="003D5CD7" w:rsidRDefault="003D5CD7" w:rsidP="001C1E36">
            <w:pPr>
              <w:autoSpaceDE w:val="0"/>
              <w:autoSpaceDN w:val="0"/>
              <w:adjustRightInd w:val="0"/>
              <w:spacing w:after="0"/>
              <w:rPr>
                <w:b/>
                <w:bCs/>
              </w:rPr>
            </w:pPr>
            <w:r w:rsidRPr="003D5CD7">
              <w:rPr>
                <w:b/>
                <w:bCs/>
              </w:rPr>
              <w:t>2007</w:t>
            </w:r>
          </w:p>
        </w:tc>
        <w:tc>
          <w:tcPr>
            <w:tcW w:w="656" w:type="dxa"/>
          </w:tcPr>
          <w:p w14:paraId="6BBE8687" w14:textId="7E6F147D" w:rsidR="003D5CD7" w:rsidRPr="003D5CD7" w:rsidRDefault="003D5CD7" w:rsidP="001C1E36">
            <w:pPr>
              <w:autoSpaceDE w:val="0"/>
              <w:autoSpaceDN w:val="0"/>
              <w:adjustRightInd w:val="0"/>
              <w:spacing w:after="0"/>
              <w:rPr>
                <w:b/>
                <w:bCs/>
              </w:rPr>
            </w:pPr>
            <w:r w:rsidRPr="003D5CD7">
              <w:rPr>
                <w:b/>
                <w:bCs/>
              </w:rPr>
              <w:t>2011</w:t>
            </w:r>
          </w:p>
        </w:tc>
        <w:tc>
          <w:tcPr>
            <w:tcW w:w="688" w:type="dxa"/>
          </w:tcPr>
          <w:p w14:paraId="073BCAAE" w14:textId="673C1AE4" w:rsidR="003D5CD7" w:rsidRPr="003D5CD7" w:rsidRDefault="003D5CD7" w:rsidP="001C1E36">
            <w:pPr>
              <w:autoSpaceDE w:val="0"/>
              <w:autoSpaceDN w:val="0"/>
              <w:adjustRightInd w:val="0"/>
              <w:spacing w:after="0"/>
              <w:rPr>
                <w:b/>
                <w:bCs/>
              </w:rPr>
            </w:pPr>
            <w:r w:rsidRPr="003D5CD7">
              <w:rPr>
                <w:b/>
                <w:bCs/>
              </w:rPr>
              <w:t>2015</w:t>
            </w:r>
          </w:p>
        </w:tc>
        <w:tc>
          <w:tcPr>
            <w:tcW w:w="656" w:type="dxa"/>
          </w:tcPr>
          <w:p w14:paraId="1BDB1C67" w14:textId="069712FB" w:rsidR="003D5CD7" w:rsidRPr="003D5CD7" w:rsidRDefault="003D5CD7" w:rsidP="001C1E36">
            <w:pPr>
              <w:autoSpaceDE w:val="0"/>
              <w:autoSpaceDN w:val="0"/>
              <w:adjustRightInd w:val="0"/>
              <w:spacing w:after="0"/>
              <w:rPr>
                <w:b/>
                <w:bCs/>
              </w:rPr>
            </w:pPr>
            <w:r w:rsidRPr="003D5CD7">
              <w:rPr>
                <w:b/>
                <w:bCs/>
              </w:rPr>
              <w:t xml:space="preserve">2019 </w:t>
            </w:r>
          </w:p>
        </w:tc>
        <w:tc>
          <w:tcPr>
            <w:tcW w:w="1152" w:type="dxa"/>
          </w:tcPr>
          <w:p w14:paraId="3FDD4ED2" w14:textId="132E329E" w:rsidR="003D5CD7" w:rsidRPr="003D5CD7" w:rsidRDefault="003D5CD7" w:rsidP="001C1E36">
            <w:pPr>
              <w:autoSpaceDE w:val="0"/>
              <w:autoSpaceDN w:val="0"/>
              <w:adjustRightInd w:val="0"/>
              <w:spacing w:after="0"/>
              <w:rPr>
                <w:b/>
                <w:bCs/>
              </w:rPr>
            </w:pPr>
            <w:r w:rsidRPr="003D5CD7">
              <w:rPr>
                <w:b/>
                <w:bCs/>
              </w:rPr>
              <w:t>2019 cigarette and /or e-cigarette use</w:t>
            </w:r>
          </w:p>
        </w:tc>
        <w:tc>
          <w:tcPr>
            <w:tcW w:w="1011" w:type="dxa"/>
          </w:tcPr>
          <w:p w14:paraId="282598FF" w14:textId="77777777" w:rsidR="003D5CD7" w:rsidRPr="003D5CD7" w:rsidRDefault="003D5CD7" w:rsidP="001C1E36">
            <w:pPr>
              <w:autoSpaceDE w:val="0"/>
              <w:autoSpaceDN w:val="0"/>
              <w:adjustRightInd w:val="0"/>
              <w:spacing w:after="0"/>
              <w:rPr>
                <w:b/>
                <w:bCs/>
              </w:rPr>
            </w:pPr>
          </w:p>
        </w:tc>
      </w:tr>
      <w:tr w:rsidR="00086385" w:rsidRPr="003D5CD7" w14:paraId="55EFE916" w14:textId="77777777" w:rsidTr="00086385">
        <w:tc>
          <w:tcPr>
            <w:tcW w:w="2547" w:type="dxa"/>
          </w:tcPr>
          <w:p w14:paraId="3A955DDF" w14:textId="7682FE77" w:rsidR="003D5CD7" w:rsidRPr="003D5CD7" w:rsidRDefault="003D5CD7" w:rsidP="001C1E36">
            <w:pPr>
              <w:autoSpaceDE w:val="0"/>
              <w:autoSpaceDN w:val="0"/>
              <w:adjustRightInd w:val="0"/>
              <w:spacing w:after="0"/>
              <w:rPr>
                <w:b/>
                <w:bCs/>
              </w:rPr>
            </w:pPr>
            <w:r w:rsidRPr="003D5CD7">
              <w:rPr>
                <w:b/>
                <w:bCs/>
              </w:rPr>
              <w:t>Debut al fumatului zilnic înainte de vârsta de 13 ani</w:t>
            </w:r>
          </w:p>
        </w:tc>
        <w:tc>
          <w:tcPr>
            <w:tcW w:w="631" w:type="dxa"/>
          </w:tcPr>
          <w:p w14:paraId="0F3F034A" w14:textId="4EB592D4" w:rsidR="003D5CD7" w:rsidRPr="003D5CD7" w:rsidRDefault="003D5CD7" w:rsidP="001C1E36">
            <w:pPr>
              <w:autoSpaceDE w:val="0"/>
              <w:autoSpaceDN w:val="0"/>
              <w:adjustRightInd w:val="0"/>
              <w:spacing w:after="0"/>
            </w:pPr>
            <w:r w:rsidRPr="003D5CD7">
              <w:t>10</w:t>
            </w:r>
          </w:p>
        </w:tc>
        <w:tc>
          <w:tcPr>
            <w:tcW w:w="656" w:type="dxa"/>
          </w:tcPr>
          <w:p w14:paraId="7F6DE819" w14:textId="44168672" w:rsidR="003D5CD7" w:rsidRPr="003D5CD7" w:rsidRDefault="003D5CD7" w:rsidP="001C1E36">
            <w:pPr>
              <w:autoSpaceDE w:val="0"/>
              <w:autoSpaceDN w:val="0"/>
              <w:adjustRightInd w:val="0"/>
              <w:spacing w:after="0"/>
            </w:pPr>
            <w:r w:rsidRPr="003D5CD7">
              <w:t>9,3</w:t>
            </w:r>
          </w:p>
        </w:tc>
        <w:tc>
          <w:tcPr>
            <w:tcW w:w="697" w:type="dxa"/>
          </w:tcPr>
          <w:p w14:paraId="366E0C75" w14:textId="742DB964" w:rsidR="003D5CD7" w:rsidRPr="003D5CD7" w:rsidRDefault="003D5CD7" w:rsidP="001C1E36">
            <w:pPr>
              <w:autoSpaceDE w:val="0"/>
              <w:autoSpaceDN w:val="0"/>
              <w:adjustRightInd w:val="0"/>
              <w:spacing w:after="0"/>
            </w:pPr>
            <w:r w:rsidRPr="003D5CD7">
              <w:t>10</w:t>
            </w:r>
          </w:p>
        </w:tc>
        <w:tc>
          <w:tcPr>
            <w:tcW w:w="656" w:type="dxa"/>
          </w:tcPr>
          <w:p w14:paraId="36E0A445" w14:textId="7615592B" w:rsidR="003D5CD7" w:rsidRPr="003D5CD7" w:rsidRDefault="003D5CD7" w:rsidP="001C1E36">
            <w:pPr>
              <w:autoSpaceDE w:val="0"/>
              <w:autoSpaceDN w:val="0"/>
              <w:adjustRightInd w:val="0"/>
              <w:spacing w:after="0"/>
            </w:pPr>
            <w:r w:rsidRPr="003D5CD7">
              <w:t>7,3</w:t>
            </w:r>
          </w:p>
        </w:tc>
        <w:tc>
          <w:tcPr>
            <w:tcW w:w="656" w:type="dxa"/>
          </w:tcPr>
          <w:p w14:paraId="630AB4A5" w14:textId="39EAEDAA" w:rsidR="003D5CD7" w:rsidRPr="003D5CD7" w:rsidRDefault="003D5CD7" w:rsidP="001C1E36">
            <w:pPr>
              <w:autoSpaceDE w:val="0"/>
              <w:autoSpaceDN w:val="0"/>
              <w:adjustRightInd w:val="0"/>
              <w:spacing w:after="0"/>
            </w:pPr>
            <w:r w:rsidRPr="003D5CD7">
              <w:t>7,1</w:t>
            </w:r>
          </w:p>
        </w:tc>
        <w:tc>
          <w:tcPr>
            <w:tcW w:w="688" w:type="dxa"/>
          </w:tcPr>
          <w:p w14:paraId="2CC10605" w14:textId="50C80037" w:rsidR="003D5CD7" w:rsidRPr="003D5CD7" w:rsidRDefault="003D5CD7" w:rsidP="001C1E36">
            <w:pPr>
              <w:autoSpaceDE w:val="0"/>
              <w:autoSpaceDN w:val="0"/>
              <w:adjustRightInd w:val="0"/>
              <w:spacing w:after="0"/>
            </w:pPr>
            <w:r w:rsidRPr="003D5CD7">
              <w:t>4,2</w:t>
            </w:r>
          </w:p>
        </w:tc>
        <w:tc>
          <w:tcPr>
            <w:tcW w:w="656" w:type="dxa"/>
          </w:tcPr>
          <w:p w14:paraId="0410ACC3" w14:textId="23BD283B" w:rsidR="003D5CD7" w:rsidRPr="003D5CD7" w:rsidRDefault="003D5CD7" w:rsidP="001C1E36">
            <w:pPr>
              <w:autoSpaceDE w:val="0"/>
              <w:autoSpaceDN w:val="0"/>
              <w:adjustRightInd w:val="0"/>
              <w:spacing w:after="0"/>
            </w:pPr>
            <w:r w:rsidRPr="003D5CD7">
              <w:t>3</w:t>
            </w:r>
          </w:p>
        </w:tc>
        <w:tc>
          <w:tcPr>
            <w:tcW w:w="1152" w:type="dxa"/>
          </w:tcPr>
          <w:p w14:paraId="0EC05822" w14:textId="7E5A0443" w:rsidR="003D5CD7" w:rsidRPr="003D5CD7" w:rsidRDefault="003D5CD7" w:rsidP="001C1E36">
            <w:pPr>
              <w:autoSpaceDE w:val="0"/>
              <w:autoSpaceDN w:val="0"/>
              <w:adjustRightInd w:val="0"/>
              <w:spacing w:after="0"/>
            </w:pPr>
            <w:r w:rsidRPr="003D5CD7">
              <w:t>4</w:t>
            </w:r>
            <w:r w:rsidR="00086385">
              <w:t>%</w:t>
            </w:r>
          </w:p>
        </w:tc>
        <w:tc>
          <w:tcPr>
            <w:tcW w:w="1011" w:type="dxa"/>
          </w:tcPr>
          <w:p w14:paraId="0401D909" w14:textId="01305C51" w:rsidR="003D5CD7" w:rsidRPr="003D5CD7" w:rsidRDefault="003D5CD7" w:rsidP="001C1E36">
            <w:pPr>
              <w:autoSpaceDE w:val="0"/>
              <w:autoSpaceDN w:val="0"/>
              <w:adjustRightInd w:val="0"/>
              <w:spacing w:after="0"/>
            </w:pPr>
            <w:r w:rsidRPr="003D5CD7">
              <w:t>Toate țările ESPAD</w:t>
            </w:r>
          </w:p>
        </w:tc>
      </w:tr>
      <w:tr w:rsidR="00086385" w:rsidRPr="003D5CD7" w14:paraId="70C837D8" w14:textId="77777777" w:rsidTr="00086385">
        <w:tc>
          <w:tcPr>
            <w:tcW w:w="2547" w:type="dxa"/>
          </w:tcPr>
          <w:p w14:paraId="6FCDE162" w14:textId="0FD95F1C" w:rsidR="003D5CD7" w:rsidRPr="003D5CD7" w:rsidRDefault="003D5CD7" w:rsidP="001C1E36">
            <w:pPr>
              <w:autoSpaceDE w:val="0"/>
              <w:autoSpaceDN w:val="0"/>
              <w:adjustRightInd w:val="0"/>
              <w:spacing w:after="0"/>
              <w:rPr>
                <w:b/>
                <w:bCs/>
              </w:rPr>
            </w:pPr>
            <w:r w:rsidRPr="003D5CD7">
              <w:rPr>
                <w:b/>
                <w:bCs/>
              </w:rPr>
              <w:t>Debut al fumatului zilnic înainte de vârsta de 13 ani</w:t>
            </w:r>
          </w:p>
        </w:tc>
        <w:tc>
          <w:tcPr>
            <w:tcW w:w="631" w:type="dxa"/>
          </w:tcPr>
          <w:p w14:paraId="484C5820" w14:textId="77777777" w:rsidR="003D5CD7" w:rsidRPr="003D5CD7" w:rsidRDefault="003D5CD7" w:rsidP="001C1E36">
            <w:pPr>
              <w:autoSpaceDE w:val="0"/>
              <w:autoSpaceDN w:val="0"/>
              <w:adjustRightInd w:val="0"/>
              <w:spacing w:after="0"/>
            </w:pPr>
          </w:p>
        </w:tc>
        <w:tc>
          <w:tcPr>
            <w:tcW w:w="656" w:type="dxa"/>
          </w:tcPr>
          <w:p w14:paraId="33DD9047" w14:textId="77777777" w:rsidR="003D5CD7" w:rsidRPr="003D5CD7" w:rsidRDefault="003D5CD7" w:rsidP="001C1E36">
            <w:pPr>
              <w:autoSpaceDE w:val="0"/>
              <w:autoSpaceDN w:val="0"/>
              <w:adjustRightInd w:val="0"/>
              <w:spacing w:after="0"/>
            </w:pPr>
          </w:p>
        </w:tc>
        <w:tc>
          <w:tcPr>
            <w:tcW w:w="697" w:type="dxa"/>
          </w:tcPr>
          <w:p w14:paraId="55F4C6AA" w14:textId="77777777" w:rsidR="003D5CD7" w:rsidRPr="003D5CD7" w:rsidRDefault="003D5CD7" w:rsidP="001C1E36">
            <w:pPr>
              <w:autoSpaceDE w:val="0"/>
              <w:autoSpaceDN w:val="0"/>
              <w:adjustRightInd w:val="0"/>
              <w:spacing w:after="0"/>
            </w:pPr>
          </w:p>
        </w:tc>
        <w:tc>
          <w:tcPr>
            <w:tcW w:w="656" w:type="dxa"/>
          </w:tcPr>
          <w:p w14:paraId="2A763D8D" w14:textId="77777777" w:rsidR="003D5CD7" w:rsidRPr="003D5CD7" w:rsidRDefault="003D5CD7" w:rsidP="001C1E36">
            <w:pPr>
              <w:autoSpaceDE w:val="0"/>
              <w:autoSpaceDN w:val="0"/>
              <w:adjustRightInd w:val="0"/>
              <w:spacing w:after="0"/>
            </w:pPr>
          </w:p>
        </w:tc>
        <w:tc>
          <w:tcPr>
            <w:tcW w:w="656" w:type="dxa"/>
          </w:tcPr>
          <w:p w14:paraId="1524233E" w14:textId="77777777" w:rsidR="003D5CD7" w:rsidRPr="003D5CD7" w:rsidRDefault="003D5CD7" w:rsidP="001C1E36">
            <w:pPr>
              <w:autoSpaceDE w:val="0"/>
              <w:autoSpaceDN w:val="0"/>
              <w:adjustRightInd w:val="0"/>
              <w:spacing w:after="0"/>
            </w:pPr>
          </w:p>
        </w:tc>
        <w:tc>
          <w:tcPr>
            <w:tcW w:w="688" w:type="dxa"/>
          </w:tcPr>
          <w:p w14:paraId="2668ACE9" w14:textId="77777777" w:rsidR="003D5CD7" w:rsidRPr="003D5CD7" w:rsidRDefault="003D5CD7" w:rsidP="001C1E36">
            <w:pPr>
              <w:autoSpaceDE w:val="0"/>
              <w:autoSpaceDN w:val="0"/>
              <w:adjustRightInd w:val="0"/>
              <w:spacing w:after="0"/>
            </w:pPr>
          </w:p>
        </w:tc>
        <w:tc>
          <w:tcPr>
            <w:tcW w:w="656" w:type="dxa"/>
          </w:tcPr>
          <w:p w14:paraId="18BE20A4" w14:textId="77777777" w:rsidR="003D5CD7" w:rsidRPr="003D5CD7" w:rsidRDefault="003D5CD7" w:rsidP="001C1E36">
            <w:pPr>
              <w:autoSpaceDE w:val="0"/>
              <w:autoSpaceDN w:val="0"/>
              <w:adjustRightInd w:val="0"/>
              <w:spacing w:after="0"/>
            </w:pPr>
          </w:p>
        </w:tc>
        <w:tc>
          <w:tcPr>
            <w:tcW w:w="1152" w:type="dxa"/>
          </w:tcPr>
          <w:p w14:paraId="50F6FDAE" w14:textId="58D951D7" w:rsidR="003D5CD7" w:rsidRPr="003D5CD7" w:rsidRDefault="00E70933" w:rsidP="001C1E36">
            <w:pPr>
              <w:autoSpaceDE w:val="0"/>
              <w:autoSpaceDN w:val="0"/>
              <w:adjustRightInd w:val="0"/>
              <w:spacing w:after="0"/>
            </w:pPr>
            <w:r>
              <w:t>5,03%</w:t>
            </w:r>
          </w:p>
        </w:tc>
        <w:tc>
          <w:tcPr>
            <w:tcW w:w="1011" w:type="dxa"/>
          </w:tcPr>
          <w:p w14:paraId="2E6EEEB4" w14:textId="4E6B8A51" w:rsidR="003D5CD7" w:rsidRPr="003D5CD7" w:rsidRDefault="003D5CD7" w:rsidP="001C1E36">
            <w:pPr>
              <w:autoSpaceDE w:val="0"/>
              <w:autoSpaceDN w:val="0"/>
              <w:adjustRightInd w:val="0"/>
              <w:spacing w:after="0"/>
            </w:pPr>
            <w:r w:rsidRPr="003D5CD7">
              <w:t>România</w:t>
            </w:r>
          </w:p>
        </w:tc>
      </w:tr>
    </w:tbl>
    <w:p w14:paraId="7F454726" w14:textId="77777777" w:rsidR="00A95F3D" w:rsidRDefault="00A95F3D" w:rsidP="00A95F3D">
      <w:pPr>
        <w:autoSpaceDE w:val="0"/>
        <w:autoSpaceDN w:val="0"/>
        <w:adjustRightInd w:val="0"/>
        <w:spacing w:after="0"/>
      </w:pPr>
    </w:p>
    <w:p w14:paraId="49E3382E" w14:textId="70727BF1" w:rsidR="001C1E36" w:rsidRDefault="001C1E36" w:rsidP="00A95F3D">
      <w:pPr>
        <w:autoSpaceDE w:val="0"/>
        <w:autoSpaceDN w:val="0"/>
        <w:adjustRightInd w:val="0"/>
        <w:spacing w:after="0"/>
      </w:pPr>
      <w:r w:rsidRPr="00F80177">
        <w:t xml:space="preserve">Tendințele specifice </w:t>
      </w:r>
      <w:r>
        <w:t>pe gen</w:t>
      </w:r>
      <w:r w:rsidR="00A95F3D">
        <w:t xml:space="preserve"> pentru rata de debut a fumatului înainde de vârsta prag considerate ( de 13 ani)</w:t>
      </w:r>
      <w:r>
        <w:t xml:space="preserve"> sunt aproximativ egale</w:t>
      </w:r>
      <w:r w:rsidRPr="00F80177">
        <w:t>, cu rate puțin mai mici în rândul fetelor decât în rândul băieților.</w:t>
      </w:r>
      <w:r>
        <w:rPr>
          <w:color w:val="FF0000"/>
        </w:rPr>
        <w:t xml:space="preserve"> </w:t>
      </w:r>
      <w:r w:rsidRPr="00F80177">
        <w:t>În 2019, dacă se ia în considerare doar fumatul, a exi</w:t>
      </w:r>
      <w:r>
        <w:t>stat o mică diferență de gen a ratei de debut</w:t>
      </w:r>
      <w:r w:rsidRPr="00F80177">
        <w:t xml:space="preserve"> a fumatului zilnic (3,5% pentru băieți și 2,6% pentru fet</w:t>
      </w:r>
      <w:r>
        <w:t>e). Dacă este inclus</w:t>
      </w:r>
      <w:r w:rsidRPr="00F80177">
        <w:t xml:space="preserve"> </w:t>
      </w:r>
      <w:r>
        <w:t xml:space="preserve">și consumul </w:t>
      </w:r>
      <w:r w:rsidRPr="00F80177">
        <w:t>țigări</w:t>
      </w:r>
      <w:r>
        <w:t xml:space="preserve">lor electronice, rata a fost cu </w:t>
      </w:r>
      <w:r w:rsidRPr="00F80177">
        <w:t xml:space="preserve">2 puncte </w:t>
      </w:r>
      <w:r>
        <w:t>procentuale mai mare</w:t>
      </w:r>
      <w:r w:rsidRPr="00F80177">
        <w:t xml:space="preserve"> în rândul băieților decât în rândul fetelor</w:t>
      </w:r>
      <w:r>
        <w:t xml:space="preserve"> (fig.</w:t>
      </w:r>
      <w:r w:rsidR="00A95F3D">
        <w:t>8</w:t>
      </w:r>
      <w:r>
        <w:t>) (p.91)</w:t>
      </w:r>
    </w:p>
    <w:p w14:paraId="3A569086" w14:textId="017244A4" w:rsidR="00A95F3D" w:rsidRPr="00F80177" w:rsidRDefault="00A95F3D" w:rsidP="00A95F3D">
      <w:pPr>
        <w:autoSpaceDE w:val="0"/>
        <w:autoSpaceDN w:val="0"/>
        <w:adjustRightInd w:val="0"/>
        <w:spacing w:after="0"/>
      </w:pPr>
      <w:r>
        <w:t>Fig</w:t>
      </w:r>
      <w:r w:rsidRPr="00F80177">
        <w:t>.</w:t>
      </w:r>
      <w:r>
        <w:t xml:space="preserve"> 8. Rata de debut a c</w:t>
      </w:r>
      <w:r w:rsidRPr="00F80177">
        <w:t>onsumul</w:t>
      </w:r>
      <w:r>
        <w:t>ui</w:t>
      </w:r>
      <w:r w:rsidRPr="00F80177">
        <w:t xml:space="preserve"> zilnic de țigări la vârsta de</w:t>
      </w:r>
      <w:r>
        <w:t xml:space="preserve"> 13 ani sau mai puțin, în funcție de gen: tendința</w:t>
      </w:r>
      <w:r w:rsidRPr="00F80177">
        <w:t xml:space="preserve"> în 30 de țări </w:t>
      </w:r>
      <w:r>
        <w:t>între anii 1995-2019</w:t>
      </w:r>
    </w:p>
    <w:p w14:paraId="2CFBFF01" w14:textId="77777777" w:rsidR="001C1E36" w:rsidRDefault="001C1E36" w:rsidP="00D665FD">
      <w:pPr>
        <w:autoSpaceDE w:val="0"/>
        <w:autoSpaceDN w:val="0"/>
        <w:adjustRightInd w:val="0"/>
        <w:spacing w:after="0"/>
        <w:contextualSpacing/>
      </w:pPr>
    </w:p>
    <w:p w14:paraId="470F335F" w14:textId="5A68CEB1" w:rsidR="002D56B7" w:rsidRDefault="00A95F3D" w:rsidP="00D23FBE">
      <w:pPr>
        <w:autoSpaceDE w:val="0"/>
        <w:autoSpaceDN w:val="0"/>
        <w:adjustRightInd w:val="0"/>
        <w:spacing w:after="0"/>
        <w:contextualSpacing/>
        <w:jc w:val="center"/>
      </w:pPr>
      <w:r w:rsidRPr="00017048">
        <w:rPr>
          <w:noProof/>
          <w:color w:val="FF0000"/>
        </w:rPr>
        <w:drawing>
          <wp:inline distT="0" distB="0" distL="0" distR="0" wp14:anchorId="44442548" wp14:editId="05571779">
            <wp:extent cx="3651250" cy="2336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1250" cy="2336800"/>
                    </a:xfrm>
                    <a:prstGeom prst="rect">
                      <a:avLst/>
                    </a:prstGeom>
                    <a:noFill/>
                    <a:ln>
                      <a:noFill/>
                    </a:ln>
                  </pic:spPr>
                </pic:pic>
              </a:graphicData>
            </a:graphic>
          </wp:inline>
        </w:drawing>
      </w:r>
    </w:p>
    <w:p w14:paraId="693E3B75" w14:textId="77777777" w:rsidR="00457B02" w:rsidRDefault="00457B02" w:rsidP="00D665FD">
      <w:pPr>
        <w:autoSpaceDE w:val="0"/>
        <w:autoSpaceDN w:val="0"/>
        <w:adjustRightInd w:val="0"/>
        <w:spacing w:after="0"/>
        <w:contextualSpacing/>
      </w:pPr>
    </w:p>
    <w:p w14:paraId="01CE517F" w14:textId="688F2C8D" w:rsidR="00086385" w:rsidRDefault="00086385" w:rsidP="00D665FD">
      <w:pPr>
        <w:autoSpaceDE w:val="0"/>
        <w:autoSpaceDN w:val="0"/>
        <w:adjustRightInd w:val="0"/>
        <w:spacing w:after="0"/>
        <w:contextualSpacing/>
      </w:pPr>
      <w:r>
        <w:t>Studiul YRBSS (Youth Risk Behavior Surveillance System), un alt studiu efectuat în România ca metodă de a evalua și monitoriza comportamentele cu risc pentru sănătate la elevi, utilizează o metodologie elaborată de CDC, SUA.</w:t>
      </w:r>
      <w:r w:rsidR="00457B02">
        <w:t xml:space="preserve"> Studiul are o ritmicitate de 2 ani,  având ca grup țintă elevii din ciclul liceal cuprinși în unitățile de învățământ și se efectuează cu colaborarea personalului din Compartimentele de Promovarea sănătăţii şi Compartimentele de igienă şcolară din cadrul Direcțiilor de Sănătate Publică județene și a municipiului București, a personalului din cadrul Inspectoratelor Școlare Județene și a municipiului București, a administratorilor unităților de învățământ de tip liceal incluse în eșantionul de studiu, a profesorilor diriginți ai claselor incluse în eșantion și a elevilor respondenți.</w:t>
      </w:r>
      <w:r w:rsidR="00F9525B">
        <w:t xml:space="preserve"> Ultimele date au fost colectate pentru anul școlar 2022-2023, în perioada octombrie-decembrie 2022.</w:t>
      </w:r>
      <w:r w:rsidR="00457B02">
        <w:t xml:space="preserve"> </w:t>
      </w:r>
      <w:sdt>
        <w:sdtPr>
          <w:id w:val="-1962806900"/>
          <w:citation/>
        </w:sdtPr>
        <w:sdtContent>
          <w:r w:rsidR="00457B02">
            <w:fldChar w:fldCharType="begin"/>
          </w:r>
          <w:r w:rsidR="00F9525B">
            <w:rPr>
              <w:lang w:val="ro-RO"/>
            </w:rPr>
            <w:instrText xml:space="preserve">CITATION Ins22 \l 1048 </w:instrText>
          </w:r>
          <w:r w:rsidR="00457B02">
            <w:fldChar w:fldCharType="separate"/>
          </w:r>
          <w:r w:rsidR="00CE4424">
            <w:rPr>
              <w:noProof/>
              <w:lang w:val="ro-RO"/>
            </w:rPr>
            <w:t>(Institutul Național de Sănătate Publică, 2022)</w:t>
          </w:r>
          <w:r w:rsidR="00457B02">
            <w:fldChar w:fldCharType="end"/>
          </w:r>
        </w:sdtContent>
      </w:sdt>
      <w:r w:rsidR="00F9525B">
        <w:t>. Datele colectate de la un numă</w:t>
      </w:r>
      <w:r w:rsidR="000D4FFA">
        <w:t>r de 22157 de respondenți nu au</w:t>
      </w:r>
      <w:r w:rsidR="00F9525B">
        <w:t xml:space="preserve"> fost încă prelucrate </w:t>
      </w:r>
      <w:r w:rsidR="00F9525B">
        <w:lastRenderedPageBreak/>
        <w:t>în vederea pregătirii raportului, dar o serie de date preliminare referitoare la fumat au fost prelucrate în vederea pregătirii campaniei actuale.</w:t>
      </w:r>
      <w:r w:rsidR="000D4FFA">
        <w:t xml:space="preserve"> La studi</w:t>
      </w:r>
      <w:r w:rsidR="002B5CA7">
        <w:t>u</w:t>
      </w:r>
      <w:r w:rsidR="000D4FFA">
        <w:t xml:space="preserve"> au participat 52,1% fete și 45,7% baieți, 2,2% dintre respondenți nu au răspuns la întrebarea referitoare la gen. </w:t>
      </w:r>
      <w:r w:rsidR="002B5CA7">
        <w:t>Respondenții au fost</w:t>
      </w:r>
      <w:r w:rsidR="000D4FFA">
        <w:t xml:space="preserve"> elevi din clasele aI</w:t>
      </w:r>
      <w:r w:rsidR="002B5CA7">
        <w:t>a</w:t>
      </w:r>
      <w:r w:rsidR="000D4FFA">
        <w:t>-a XIII</w:t>
      </w:r>
      <w:r w:rsidR="002B5CA7">
        <w:t>a</w:t>
      </w:r>
      <w:r w:rsidR="000D4FFA">
        <w:t>, cu ponderi aproximativ egale pentru clasele I-XII și o p</w:t>
      </w:r>
      <w:r w:rsidR="00294697">
        <w:t>o</w:t>
      </w:r>
      <w:r w:rsidR="000D4FFA">
        <w:t>ndere mai mic</w:t>
      </w:r>
      <w:r w:rsidR="00294697">
        <w:t>ă</w:t>
      </w:r>
      <w:r w:rsidR="000D4FFA">
        <w:t xml:space="preserve"> a respondenților pentru clasa a XIIIa. Conform datelor obținute din acest </w:t>
      </w:r>
      <w:r w:rsidR="00294697">
        <w:t>studiu, 2,4% dintre respondenți au încercat să fumeze prima țigară la vârsta de 8 ani sau înainte de vârsta de 8 ani, 3,2 % între 9 și 10 ani, 9,7% între 11 și 12 ani. Cea mai mare frecvență raportată a memontului încercării primei țigări a fost pentru grupele de vârstă 13-14 ani (25%) și 215-16 ani (29%). (Fig. 9)</w:t>
      </w:r>
    </w:p>
    <w:p w14:paraId="1C36E6CB" w14:textId="1B8D66D5" w:rsidR="00294697" w:rsidRDefault="00294697" w:rsidP="00D665FD">
      <w:pPr>
        <w:autoSpaceDE w:val="0"/>
        <w:autoSpaceDN w:val="0"/>
        <w:adjustRightInd w:val="0"/>
        <w:spacing w:after="0"/>
        <w:contextualSpacing/>
      </w:pPr>
      <w:r>
        <w:t>Fig.9. Distribuția reposndenților studiului YRBSS pe grupe de vârstă în funcție de momentul la care declară că au fumat prima data o țigară întreagă</w:t>
      </w:r>
    </w:p>
    <w:p w14:paraId="668E9163" w14:textId="77777777" w:rsidR="00D23FBE" w:rsidRDefault="00D23FBE" w:rsidP="00D665FD">
      <w:pPr>
        <w:autoSpaceDE w:val="0"/>
        <w:autoSpaceDN w:val="0"/>
        <w:adjustRightInd w:val="0"/>
        <w:spacing w:after="0"/>
        <w:contextualSpacing/>
      </w:pPr>
    </w:p>
    <w:p w14:paraId="4CABB53C" w14:textId="132C77F5" w:rsidR="000D4FFA" w:rsidRDefault="000D4FFA" w:rsidP="00D23FBE">
      <w:pPr>
        <w:autoSpaceDE w:val="0"/>
        <w:autoSpaceDN w:val="0"/>
        <w:adjustRightInd w:val="0"/>
        <w:spacing w:after="0"/>
        <w:contextualSpacing/>
        <w:jc w:val="center"/>
      </w:pPr>
      <w:r>
        <w:rPr>
          <w:noProof/>
        </w:rPr>
        <w:drawing>
          <wp:inline distT="0" distB="0" distL="0" distR="0" wp14:anchorId="2C02BFDB" wp14:editId="0FFF7616">
            <wp:extent cx="5467350" cy="25527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C01CA6C" w14:textId="77777777" w:rsidR="00F9525B" w:rsidRDefault="00F9525B" w:rsidP="00D665FD">
      <w:pPr>
        <w:autoSpaceDE w:val="0"/>
        <w:autoSpaceDN w:val="0"/>
        <w:adjustRightInd w:val="0"/>
        <w:spacing w:after="0"/>
        <w:contextualSpacing/>
      </w:pPr>
    </w:p>
    <w:p w14:paraId="009AF6FB" w14:textId="786CD956" w:rsidR="008E27D0" w:rsidRDefault="008E27D0" w:rsidP="00D665FD">
      <w:pPr>
        <w:autoSpaceDE w:val="0"/>
        <w:autoSpaceDN w:val="0"/>
        <w:adjustRightInd w:val="0"/>
        <w:spacing w:after="0"/>
        <w:contextualSpacing/>
      </w:pPr>
      <w:r>
        <w:t>Se observă frecvențe ușor mai mari în ceea ce privește debutul fumatului la vârste mai mici pentru băieți, în comparație cu fetele. (fig.10)</w:t>
      </w:r>
    </w:p>
    <w:p w14:paraId="63242E67" w14:textId="04EA4311" w:rsidR="008E27D0" w:rsidRDefault="008E27D0" w:rsidP="008E27D0">
      <w:pPr>
        <w:autoSpaceDE w:val="0"/>
        <w:autoSpaceDN w:val="0"/>
        <w:adjustRightInd w:val="0"/>
        <w:spacing w:after="0"/>
        <w:contextualSpacing/>
      </w:pPr>
      <w:r>
        <w:t>Fig.10. Distribuția reposndenților studiului YRBSS pe grupe de vârstă și gen în funcție de momentul la care declară că au fumat prima dată o țigară întreagă</w:t>
      </w:r>
    </w:p>
    <w:p w14:paraId="31C9BDD2" w14:textId="77777777" w:rsidR="000455A8" w:rsidRDefault="000455A8" w:rsidP="008E27D0">
      <w:pPr>
        <w:autoSpaceDE w:val="0"/>
        <w:autoSpaceDN w:val="0"/>
        <w:adjustRightInd w:val="0"/>
        <w:spacing w:after="0"/>
        <w:contextualSpacing/>
      </w:pPr>
    </w:p>
    <w:p w14:paraId="2383ECF8" w14:textId="77777777" w:rsidR="000455A8" w:rsidRDefault="000455A8" w:rsidP="008E27D0">
      <w:pPr>
        <w:autoSpaceDE w:val="0"/>
        <w:autoSpaceDN w:val="0"/>
        <w:adjustRightInd w:val="0"/>
        <w:spacing w:after="0"/>
        <w:contextualSpacing/>
      </w:pPr>
    </w:p>
    <w:p w14:paraId="5F73DC9E" w14:textId="066C80EC" w:rsidR="008E27D0" w:rsidRPr="003D4197" w:rsidRDefault="00864699" w:rsidP="00D23FBE">
      <w:pPr>
        <w:autoSpaceDE w:val="0"/>
        <w:autoSpaceDN w:val="0"/>
        <w:adjustRightInd w:val="0"/>
        <w:spacing w:after="0"/>
        <w:contextualSpacing/>
        <w:jc w:val="center"/>
      </w:pPr>
      <w:r>
        <w:rPr>
          <w:noProof/>
        </w:rPr>
        <w:drawing>
          <wp:inline distT="0" distB="0" distL="0" distR="0" wp14:anchorId="026229A6" wp14:editId="0AE47DE1">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3636C83" w14:textId="5BF9A665" w:rsidR="00294697" w:rsidRDefault="00294697" w:rsidP="00CE4424">
      <w:r w:rsidRPr="00294697">
        <w:lastRenderedPageBreak/>
        <w:t>Vârst</w:t>
      </w:r>
      <w:r>
        <w:t>a mică de debut a fumatului este corelată cu un risc de addicție mai mare și cu posibilitatea mai scăzută de a renunța la fumat mai târziu, la vârste adulte.</w:t>
      </w:r>
    </w:p>
    <w:p w14:paraId="13715C37" w14:textId="511EF3D0" w:rsidR="00294697" w:rsidRPr="00294697" w:rsidRDefault="00294697" w:rsidP="00294697">
      <w:r>
        <w:t xml:space="preserve">Având în vedere aceste date, este necesar să existe intervenții de prevenție care să se adreseze grupelor de vârstă la risc de a începe să fumeze, </w:t>
      </w:r>
      <w:r w:rsidR="00CA00B6">
        <w:t>respectiv</w:t>
      </w:r>
      <w:r>
        <w:t xml:space="preserve"> ciclul gimnazial ș ciclul liceal.</w:t>
      </w:r>
    </w:p>
    <w:p w14:paraId="4C3AF416" w14:textId="449B63FC" w:rsidR="00600473" w:rsidRDefault="00600473" w:rsidP="00600473">
      <w:pPr>
        <w:pStyle w:val="Heading3"/>
      </w:pPr>
      <w:bookmarkStart w:id="16" w:name="_Toc132812362"/>
      <w:r>
        <w:t>Consumul de tutun în rândul adolescenț</w:t>
      </w:r>
      <w:r w:rsidRPr="001C48E8">
        <w:t>ilor</w:t>
      </w:r>
      <w:r>
        <w:t xml:space="preserve"> – prevalența fumatului</w:t>
      </w:r>
      <w:bookmarkEnd w:id="16"/>
    </w:p>
    <w:p w14:paraId="758F97D2" w14:textId="33254C4B" w:rsidR="00475560" w:rsidRPr="00475560" w:rsidRDefault="001622A4" w:rsidP="00475560">
      <w:r>
        <w:t>Conform datelor obținute din studiul ESPAD î</w:t>
      </w:r>
      <w:r w:rsidR="0027318B" w:rsidRPr="00475560">
        <w:t>n</w:t>
      </w:r>
      <w:r w:rsidR="003D4197" w:rsidRPr="00475560">
        <w:t xml:space="preserve"> Uniunea Europeană</w:t>
      </w:r>
      <w:r w:rsidR="00475560" w:rsidRPr="00475560">
        <w:t>,</w:t>
      </w:r>
      <w:r w:rsidR="003D4197" w:rsidRPr="00475560">
        <w:t xml:space="preserve"> în medie</w:t>
      </w:r>
      <w:r w:rsidR="00475560" w:rsidRPr="00475560">
        <w:t>,</w:t>
      </w:r>
      <w:r w:rsidR="0027318B" w:rsidRPr="00475560">
        <w:t xml:space="preserve"> fumatul convențional înregistrează o tendință de scă</w:t>
      </w:r>
      <w:r w:rsidR="0063435A" w:rsidRPr="00475560">
        <w:t xml:space="preserve">dere </w:t>
      </w:r>
      <w:r w:rsidR="00C65A1B" w:rsidRPr="00475560">
        <w:t xml:space="preserve">în rândul adolescenților, </w:t>
      </w:r>
      <w:r w:rsidR="003D4197" w:rsidRPr="00475560">
        <w:t xml:space="preserve">dar </w:t>
      </w:r>
      <w:r w:rsidR="00C65A1B" w:rsidRPr="00475560">
        <w:t xml:space="preserve">noi produse din tutun și nicotină </w:t>
      </w:r>
      <w:r w:rsidR="00554D21" w:rsidRPr="00475560">
        <w:t>apar</w:t>
      </w:r>
      <w:r w:rsidR="0027318B" w:rsidRPr="00475560">
        <w:t xml:space="preserve"> pe piața specifică</w:t>
      </w:r>
      <w:r w:rsidR="00554D21" w:rsidRPr="00475560">
        <w:t xml:space="preserve"> </w:t>
      </w:r>
      <w:r w:rsidR="00C65A1B" w:rsidRPr="00475560">
        <w:t>(de exemplu, tutu</w:t>
      </w:r>
      <w:r w:rsidR="0063435A" w:rsidRPr="00475560">
        <w:t>n</w:t>
      </w:r>
      <w:r w:rsidR="00614FDC" w:rsidRPr="00475560">
        <w:t>ul</w:t>
      </w:r>
      <w:r w:rsidR="0063435A" w:rsidRPr="00475560">
        <w:t xml:space="preserve"> de rulat, tutun</w:t>
      </w:r>
      <w:r w:rsidR="00614FDC" w:rsidRPr="00475560">
        <w:t>ul</w:t>
      </w:r>
      <w:r w:rsidR="0063435A" w:rsidRPr="00475560">
        <w:t xml:space="preserve"> încălzit, </w:t>
      </w:r>
      <w:r w:rsidR="00554D21" w:rsidRPr="00475560">
        <w:t>e-</w:t>
      </w:r>
      <w:r w:rsidR="00D665FD" w:rsidRPr="00475560">
        <w:t>ț</w:t>
      </w:r>
      <w:r w:rsidR="00554D21" w:rsidRPr="00475560">
        <w:t>igaretele</w:t>
      </w:r>
      <w:r w:rsidR="00C65A1B" w:rsidRPr="00475560">
        <w:t>) care sunt, de asem</w:t>
      </w:r>
      <w:r w:rsidR="0063435A" w:rsidRPr="00475560">
        <w:t>enea, dăunătoare sănăt</w:t>
      </w:r>
      <w:r w:rsidR="003D4197" w:rsidRPr="00475560">
        <w:t>ăț</w:t>
      </w:r>
      <w:r w:rsidR="0063435A" w:rsidRPr="00475560">
        <w:t>ii</w:t>
      </w:r>
      <w:r w:rsidR="00C65A1B" w:rsidRPr="00475560">
        <w:t>.</w:t>
      </w:r>
      <w:r>
        <w:t xml:space="preserve"> </w:t>
      </w:r>
      <w:sdt>
        <w:sdtPr>
          <w:id w:val="1538388273"/>
          <w:citation/>
        </w:sdtPr>
        <w:sdtContent>
          <w:r>
            <w:fldChar w:fldCharType="begin"/>
          </w:r>
          <w:r>
            <w:rPr>
              <w:lang w:val="ro-RO"/>
            </w:rPr>
            <w:instrText xml:space="preserve"> CITATION Ins23 \l 1048 </w:instrText>
          </w:r>
          <w:r>
            <w:fldChar w:fldCharType="separate"/>
          </w:r>
          <w:r w:rsidR="00CE4424">
            <w:rPr>
              <w:noProof/>
              <w:lang w:val="ro-RO"/>
            </w:rPr>
            <w:t>(Institute of Clinical Physiology, National Research Council of Italy, 2023)</w:t>
          </w:r>
          <w:r>
            <w:fldChar w:fldCharType="end"/>
          </w:r>
        </w:sdtContent>
      </w:sdt>
    </w:p>
    <w:p w14:paraId="2F67CCE8" w14:textId="6188BFFE" w:rsidR="00C65A1B" w:rsidRPr="00571C5B" w:rsidRDefault="00C65A1B" w:rsidP="00475560">
      <w:r w:rsidRPr="00571C5B">
        <w:t>În</w:t>
      </w:r>
      <w:r w:rsidR="0063435A" w:rsidRPr="00571C5B">
        <w:t xml:space="preserve"> ultimii ani, fumatul </w:t>
      </w:r>
      <w:r w:rsidRPr="00571C5B">
        <w:t>în rândul adolescenților a continuat să scadă în majoritatea țărilor UE, dar într-un ritm mai lent.</w:t>
      </w:r>
      <w:r w:rsidR="003D4197" w:rsidRPr="00571C5B">
        <w:t xml:space="preserve"> </w:t>
      </w:r>
      <w:r w:rsidR="0063435A" w:rsidRPr="00571C5B">
        <w:t xml:space="preserve">Astfel, în 2019 </w:t>
      </w:r>
      <w:r w:rsidR="00571C5B" w:rsidRPr="00571C5B">
        <w:t>la nivelul UE 25</w:t>
      </w:r>
      <w:r w:rsidR="0063435A" w:rsidRPr="00571C5B">
        <w:t xml:space="preserve"> </w:t>
      </w:r>
      <w:r w:rsidR="0027318B" w:rsidRPr="00571C5B">
        <w:t>î</w:t>
      </w:r>
      <w:r w:rsidR="0063435A" w:rsidRPr="00571C5B">
        <w:t xml:space="preserve">n medie </w:t>
      </w:r>
      <w:r w:rsidRPr="00571C5B">
        <w:t>21%</w:t>
      </w:r>
      <w:r w:rsidR="0027318B" w:rsidRPr="00571C5B">
        <w:t xml:space="preserve"> dintre tinerii cu vâ</w:t>
      </w:r>
      <w:r w:rsidR="00685987" w:rsidRPr="00571C5B">
        <w:t>rsta</w:t>
      </w:r>
      <w:r w:rsidR="0063435A" w:rsidRPr="00571C5B">
        <w:t xml:space="preserve"> </w:t>
      </w:r>
      <w:r w:rsidR="0027318B" w:rsidRPr="00571C5B">
        <w:t xml:space="preserve">de </w:t>
      </w:r>
      <w:r w:rsidR="0063435A" w:rsidRPr="00571C5B">
        <w:t>15-16 ani declarau</w:t>
      </w:r>
      <w:r w:rsidRPr="00571C5B">
        <w:t xml:space="preserve"> că au fumat cel puțin o</w:t>
      </w:r>
      <w:r w:rsidR="0027318B" w:rsidRPr="00571C5B">
        <w:t xml:space="preserve"> dată în ultima lună (fig.</w:t>
      </w:r>
      <w:r w:rsidR="00A95F3D">
        <w:t xml:space="preserve"> 9</w:t>
      </w:r>
      <w:r w:rsidRPr="00571C5B">
        <w:t>),</w:t>
      </w:r>
      <w:r w:rsidR="00571C5B" w:rsidRPr="00571C5B">
        <w:t xml:space="preserve"> având o evoluție des</w:t>
      </w:r>
      <w:r w:rsidR="00295869">
        <w:t>c</w:t>
      </w:r>
      <w:r w:rsidR="00571C5B" w:rsidRPr="00571C5B">
        <w:t>endentă</w:t>
      </w:r>
      <w:r w:rsidRPr="00571C5B">
        <w:t xml:space="preserve"> cu 3 puncte procentuale față de 2015 (</w:t>
      </w:r>
      <w:r w:rsidR="00571C5B" w:rsidRPr="00571C5B">
        <w:t xml:space="preserve">prevalența medie în anul 2015 a fost de </w:t>
      </w:r>
      <w:r w:rsidRPr="00571C5B">
        <w:t xml:space="preserve">24%). Prin comparație, </w:t>
      </w:r>
      <w:r w:rsidR="00571C5B" w:rsidRPr="00571C5B">
        <w:t xml:space="preserve">între anii 2011 și 2015 </w:t>
      </w:r>
      <w:r w:rsidRPr="00571C5B">
        <w:t>reducerea a fost de 8 puncte procentuale, de la 32% la 24%. (p.108)</w:t>
      </w:r>
      <w:sdt>
        <w:sdtPr>
          <w:id w:val="-1689207072"/>
          <w:citation/>
        </w:sdtPr>
        <w:sdtContent>
          <w:r w:rsidR="00086A9A" w:rsidRPr="00571C5B">
            <w:fldChar w:fldCharType="begin"/>
          </w:r>
          <w:r w:rsidR="00086A9A" w:rsidRPr="00571C5B">
            <w:rPr>
              <w:lang w:val="ro-RO"/>
            </w:rPr>
            <w:instrText xml:space="preserve"> CITATION 202 \l 1048 </w:instrText>
          </w:r>
          <w:r w:rsidR="00086A9A" w:rsidRPr="00571C5B">
            <w:fldChar w:fldCharType="separate"/>
          </w:r>
          <w:r w:rsidR="00CE4424">
            <w:rPr>
              <w:noProof/>
              <w:lang w:val="ro-RO"/>
            </w:rPr>
            <w:t xml:space="preserve"> (OECD , 2023)</w:t>
          </w:r>
          <w:r w:rsidR="00086A9A" w:rsidRPr="00571C5B">
            <w:fldChar w:fldCharType="end"/>
          </w:r>
        </w:sdtContent>
      </w:sdt>
    </w:p>
    <w:p w14:paraId="5A918373" w14:textId="6E35651F" w:rsidR="00086A9A" w:rsidRPr="00571C5B" w:rsidRDefault="003D4197" w:rsidP="00475560">
      <w:r w:rsidRPr="00571C5B">
        <w:t xml:space="preserve">În România trendul este inversat față de celelalte țări europene, înregistrandu-se o ușoară creștere a prevalenței fumatului </w:t>
      </w:r>
      <w:r w:rsidR="00086A9A" w:rsidRPr="00571C5B">
        <w:t>raportat de cel puțin o țigaretă în ultima lună în anii în care s-au realizat studiile (2011,</w:t>
      </w:r>
      <w:r w:rsidR="002D56B7" w:rsidRPr="00571C5B">
        <w:t xml:space="preserve"> </w:t>
      </w:r>
      <w:r w:rsidR="00086A9A" w:rsidRPr="00571C5B">
        <w:t>2015 și 2019)</w:t>
      </w:r>
      <w:r w:rsidRPr="00571C5B">
        <w:t xml:space="preserve">. </w:t>
      </w:r>
    </w:p>
    <w:p w14:paraId="7B5465D7" w14:textId="2B9224F7" w:rsidR="003D4197" w:rsidRPr="00571C5B" w:rsidRDefault="003D4197" w:rsidP="003D4197">
      <w:pPr>
        <w:autoSpaceDE w:val="0"/>
        <w:autoSpaceDN w:val="0"/>
        <w:adjustRightInd w:val="0"/>
        <w:spacing w:after="0"/>
        <w:contextualSpacing/>
      </w:pPr>
      <w:r w:rsidRPr="00571C5B">
        <w:t>Conform rezultatelor studiilui ESPAD, prevalența fumatului</w:t>
      </w:r>
      <w:r w:rsidR="00086A9A" w:rsidRPr="00571C5B">
        <w:t xml:space="preserve"> a cel puțin unei țigarete în ultima lună</w:t>
      </w:r>
      <w:r w:rsidRPr="00571C5B">
        <w:t xml:space="preserve"> în rândul adolescenților </w:t>
      </w:r>
      <w:r w:rsidR="00086A9A" w:rsidRPr="00571C5B">
        <w:t>din grupa de</w:t>
      </w:r>
      <w:r w:rsidRPr="00571C5B">
        <w:t xml:space="preserve"> vârstă de 15-16 ani</w:t>
      </w:r>
      <w:r w:rsidR="00D6514B">
        <w:t xml:space="preserve"> în România</w:t>
      </w:r>
      <w:r w:rsidRPr="00571C5B">
        <w:t xml:space="preserve">, a ajuns de la </w:t>
      </w:r>
      <w:r w:rsidR="00571C5B" w:rsidRPr="00571C5B">
        <w:t xml:space="preserve">29% </w:t>
      </w:r>
      <w:r w:rsidRPr="00571C5B">
        <w:t xml:space="preserve">în 2011, la </w:t>
      </w:r>
      <w:r w:rsidR="00571C5B" w:rsidRPr="00571C5B">
        <w:t xml:space="preserve">30% </w:t>
      </w:r>
      <w:r w:rsidRPr="00571C5B">
        <w:t xml:space="preserve">în 2015 </w:t>
      </w:r>
      <w:r w:rsidR="00086A9A" w:rsidRPr="00571C5B">
        <w:t xml:space="preserve">pentru ca în 2019 acesta să aibă un nivel de 31%. </w:t>
      </w:r>
      <w:sdt>
        <w:sdtPr>
          <w:id w:val="-363593489"/>
          <w:citation/>
        </w:sdtPr>
        <w:sdtContent>
          <w:r w:rsidR="00571C5B">
            <w:fldChar w:fldCharType="begin"/>
          </w:r>
          <w:r w:rsidR="00571C5B">
            <w:rPr>
              <w:lang w:val="ro-RO"/>
            </w:rPr>
            <w:instrText xml:space="preserve"> CITATION OECis \l 1048 </w:instrText>
          </w:r>
          <w:r w:rsidR="00571C5B">
            <w:fldChar w:fldCharType="separate"/>
          </w:r>
          <w:r w:rsidR="00CE4424">
            <w:rPr>
              <w:noProof/>
              <w:lang w:val="ro-RO"/>
            </w:rPr>
            <w:t>(OECD/European Union, Paris)</w:t>
          </w:r>
          <w:r w:rsidR="00571C5B">
            <w:fldChar w:fldCharType="end"/>
          </w:r>
        </w:sdtContent>
      </w:sdt>
    </w:p>
    <w:p w14:paraId="3C2CB6AD" w14:textId="77777777" w:rsidR="00C65A1B" w:rsidRPr="00571C5B" w:rsidRDefault="00C65A1B" w:rsidP="00C65A1B">
      <w:pPr>
        <w:autoSpaceDE w:val="0"/>
        <w:autoSpaceDN w:val="0"/>
        <w:adjustRightInd w:val="0"/>
        <w:spacing w:after="0"/>
      </w:pPr>
    </w:p>
    <w:p w14:paraId="1FD51045" w14:textId="0A1667B5" w:rsidR="00C65A1B" w:rsidRDefault="0027318B" w:rsidP="00C65A1B">
      <w:pPr>
        <w:autoSpaceDE w:val="0"/>
        <w:autoSpaceDN w:val="0"/>
        <w:adjustRightInd w:val="0"/>
        <w:spacing w:after="0"/>
      </w:pPr>
      <w:r w:rsidRPr="00571C5B">
        <w:t>Fig.</w:t>
      </w:r>
      <w:r w:rsidR="00294697">
        <w:t>1</w:t>
      </w:r>
      <w:r w:rsidR="00825EE9">
        <w:t>1</w:t>
      </w:r>
      <w:r w:rsidR="00086A9A" w:rsidRPr="00571C5B">
        <w:t>. Proporția adolescenților (15-16 ani) care au fumat cel puțin o țigară în ultima lună în</w:t>
      </w:r>
      <w:r w:rsidR="00C65A1B" w:rsidRPr="00571C5B">
        <w:t xml:space="preserve"> </w:t>
      </w:r>
      <w:r w:rsidR="00571C5B">
        <w:t xml:space="preserve">anii </w:t>
      </w:r>
      <w:r w:rsidR="00C65A1B" w:rsidRPr="00571C5B">
        <w:t>2011, 2015 și 2019 (p.109)</w:t>
      </w:r>
    </w:p>
    <w:p w14:paraId="7F4DCBC0" w14:textId="77777777" w:rsidR="00D23FBE" w:rsidRPr="00571C5B" w:rsidRDefault="00D23FBE" w:rsidP="00D23FBE">
      <w:pPr>
        <w:autoSpaceDE w:val="0"/>
        <w:autoSpaceDN w:val="0"/>
        <w:adjustRightInd w:val="0"/>
        <w:spacing w:after="0"/>
        <w:jc w:val="center"/>
      </w:pPr>
    </w:p>
    <w:tbl>
      <w:tblPr>
        <w:tblW w:w="9458" w:type="dxa"/>
        <w:jc w:val="center"/>
        <w:tblLook w:val="04A0" w:firstRow="1" w:lastRow="0" w:firstColumn="1" w:lastColumn="0" w:noHBand="0" w:noVBand="1"/>
      </w:tblPr>
      <w:tblGrid>
        <w:gridCol w:w="9458"/>
      </w:tblGrid>
      <w:tr w:rsidR="004A50EF" w:rsidRPr="00EB094E" w14:paraId="250C9017" w14:textId="77777777" w:rsidTr="00D23FBE">
        <w:trPr>
          <w:trHeight w:val="276"/>
          <w:jc w:val="center"/>
        </w:trPr>
        <w:tc>
          <w:tcPr>
            <w:tcW w:w="9458" w:type="dxa"/>
            <w:tcBorders>
              <w:top w:val="nil"/>
              <w:left w:val="nil"/>
              <w:bottom w:val="nil"/>
              <w:right w:val="nil"/>
            </w:tcBorders>
            <w:shd w:val="clear" w:color="auto" w:fill="auto"/>
            <w:noWrap/>
            <w:vAlign w:val="bottom"/>
            <w:hideMark/>
          </w:tcPr>
          <w:p w14:paraId="491291D6" w14:textId="0420D249" w:rsidR="004A50EF" w:rsidRPr="00EB094E" w:rsidRDefault="004A50EF" w:rsidP="00EB094E">
            <w:pPr>
              <w:spacing w:before="0" w:after="0"/>
              <w:rPr>
                <w:rFonts w:ascii="Arial" w:hAnsi="Arial" w:cs="Arial"/>
                <w:color w:val="000000"/>
                <w:sz w:val="20"/>
                <w:szCs w:val="20"/>
                <w:lang w:val="ro-RO" w:eastAsia="ro-RO"/>
              </w:rPr>
            </w:pPr>
            <w:r w:rsidRPr="00EB094E">
              <w:rPr>
                <w:rFonts w:ascii="Arial" w:hAnsi="Arial" w:cs="Arial"/>
                <w:noProof/>
                <w:color w:val="000000"/>
                <w:sz w:val="20"/>
                <w:szCs w:val="20"/>
              </w:rPr>
              <w:drawing>
                <wp:anchor distT="0" distB="0" distL="114300" distR="114300" simplePos="0" relativeHeight="251671552" behindDoc="0" locked="0" layoutInCell="1" allowOverlap="1" wp14:anchorId="29E231AB" wp14:editId="769305FC">
                  <wp:simplePos x="0" y="0"/>
                  <wp:positionH relativeFrom="column">
                    <wp:posOffset>40005</wp:posOffset>
                  </wp:positionH>
                  <wp:positionV relativeFrom="paragraph">
                    <wp:posOffset>15875</wp:posOffset>
                  </wp:positionV>
                  <wp:extent cx="5189220" cy="3198495"/>
                  <wp:effectExtent l="0" t="0" r="0" b="0"/>
                  <wp:wrapNone/>
                  <wp:docPr id="42" name="Chart 4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80"/>
            </w:tblGrid>
            <w:tr w:rsidR="004A50EF" w:rsidRPr="00EB094E" w14:paraId="66B2B7EC" w14:textId="77777777">
              <w:trPr>
                <w:trHeight w:val="276"/>
                <w:tblCellSpacing w:w="0" w:type="dxa"/>
              </w:trPr>
              <w:tc>
                <w:tcPr>
                  <w:tcW w:w="1280" w:type="dxa"/>
                  <w:tcBorders>
                    <w:top w:val="nil"/>
                    <w:left w:val="nil"/>
                    <w:bottom w:val="nil"/>
                    <w:right w:val="nil"/>
                  </w:tcBorders>
                  <w:shd w:val="clear" w:color="auto" w:fill="auto"/>
                  <w:noWrap/>
                  <w:vAlign w:val="bottom"/>
                  <w:hideMark/>
                </w:tcPr>
                <w:p w14:paraId="68718972" w14:textId="77777777" w:rsidR="004A50EF" w:rsidRPr="00EB094E" w:rsidRDefault="004A50EF" w:rsidP="00EB094E">
                  <w:pPr>
                    <w:spacing w:before="0" w:after="0"/>
                    <w:rPr>
                      <w:rFonts w:ascii="Arial" w:hAnsi="Arial" w:cs="Arial"/>
                      <w:color w:val="000000"/>
                      <w:sz w:val="20"/>
                      <w:szCs w:val="20"/>
                      <w:lang w:val="ro-RO" w:eastAsia="ro-RO"/>
                    </w:rPr>
                  </w:pPr>
                  <w:bookmarkStart w:id="17" w:name="RANGE!A2:J22"/>
                  <w:bookmarkEnd w:id="17"/>
                </w:p>
              </w:tc>
            </w:tr>
          </w:tbl>
          <w:p w14:paraId="7146CCF2" w14:textId="10080945" w:rsidR="004A50EF" w:rsidRPr="00EB094E" w:rsidRDefault="004A50EF" w:rsidP="00EB094E">
            <w:pPr>
              <w:spacing w:before="0" w:after="0"/>
              <w:rPr>
                <w:rFonts w:ascii="Arial" w:hAnsi="Arial" w:cs="Arial"/>
                <w:color w:val="000000"/>
                <w:sz w:val="20"/>
                <w:szCs w:val="20"/>
                <w:lang w:val="ro-RO" w:eastAsia="ro-RO"/>
              </w:rPr>
            </w:pPr>
          </w:p>
        </w:tc>
      </w:tr>
      <w:tr w:rsidR="004A50EF" w:rsidRPr="00EB094E" w14:paraId="4A5C17CC" w14:textId="77777777" w:rsidTr="00D23FBE">
        <w:trPr>
          <w:trHeight w:val="276"/>
          <w:jc w:val="center"/>
        </w:trPr>
        <w:tc>
          <w:tcPr>
            <w:tcW w:w="9458" w:type="dxa"/>
            <w:tcBorders>
              <w:top w:val="nil"/>
              <w:left w:val="nil"/>
              <w:bottom w:val="nil"/>
              <w:right w:val="nil"/>
            </w:tcBorders>
            <w:shd w:val="clear" w:color="auto" w:fill="auto"/>
            <w:noWrap/>
            <w:vAlign w:val="bottom"/>
            <w:hideMark/>
          </w:tcPr>
          <w:p w14:paraId="6E009B98" w14:textId="77777777" w:rsidR="004A50EF" w:rsidRPr="00EB094E" w:rsidRDefault="004A50EF" w:rsidP="00EB094E">
            <w:pPr>
              <w:spacing w:before="0" w:after="0"/>
              <w:rPr>
                <w:sz w:val="20"/>
                <w:szCs w:val="20"/>
                <w:lang w:val="ro-RO" w:eastAsia="ro-RO"/>
              </w:rPr>
            </w:pPr>
          </w:p>
        </w:tc>
      </w:tr>
      <w:tr w:rsidR="004A50EF" w:rsidRPr="00EB094E" w14:paraId="2408B936" w14:textId="77777777" w:rsidTr="00D23FBE">
        <w:trPr>
          <w:trHeight w:val="276"/>
          <w:jc w:val="center"/>
        </w:trPr>
        <w:tc>
          <w:tcPr>
            <w:tcW w:w="9458" w:type="dxa"/>
            <w:tcBorders>
              <w:top w:val="nil"/>
              <w:left w:val="nil"/>
              <w:bottom w:val="nil"/>
              <w:right w:val="nil"/>
            </w:tcBorders>
            <w:shd w:val="clear" w:color="auto" w:fill="auto"/>
            <w:noWrap/>
            <w:vAlign w:val="bottom"/>
            <w:hideMark/>
          </w:tcPr>
          <w:p w14:paraId="4A09CB25" w14:textId="77777777" w:rsidR="004A50EF" w:rsidRPr="00EB094E" w:rsidRDefault="004A50EF" w:rsidP="00EB094E">
            <w:pPr>
              <w:spacing w:before="0" w:after="0"/>
              <w:rPr>
                <w:sz w:val="20"/>
                <w:szCs w:val="20"/>
                <w:lang w:val="ro-RO" w:eastAsia="ro-RO"/>
              </w:rPr>
            </w:pPr>
          </w:p>
        </w:tc>
      </w:tr>
      <w:tr w:rsidR="004A50EF" w:rsidRPr="00EB094E" w14:paraId="4F9F72F7" w14:textId="77777777" w:rsidTr="00D23FBE">
        <w:trPr>
          <w:trHeight w:val="276"/>
          <w:jc w:val="center"/>
        </w:trPr>
        <w:tc>
          <w:tcPr>
            <w:tcW w:w="9458" w:type="dxa"/>
            <w:tcBorders>
              <w:top w:val="nil"/>
              <w:left w:val="nil"/>
              <w:bottom w:val="nil"/>
              <w:right w:val="nil"/>
            </w:tcBorders>
            <w:shd w:val="clear" w:color="auto" w:fill="auto"/>
            <w:noWrap/>
            <w:vAlign w:val="bottom"/>
            <w:hideMark/>
          </w:tcPr>
          <w:p w14:paraId="7DB6063C" w14:textId="77777777" w:rsidR="004A50EF" w:rsidRPr="00EB094E" w:rsidRDefault="004A50EF" w:rsidP="00EB094E">
            <w:pPr>
              <w:spacing w:before="0" w:after="0"/>
              <w:rPr>
                <w:sz w:val="20"/>
                <w:szCs w:val="20"/>
                <w:lang w:val="ro-RO" w:eastAsia="ro-RO"/>
              </w:rPr>
            </w:pPr>
          </w:p>
        </w:tc>
      </w:tr>
      <w:tr w:rsidR="004A50EF" w:rsidRPr="00EB094E" w14:paraId="6B4E4518" w14:textId="77777777" w:rsidTr="00D23FBE">
        <w:trPr>
          <w:trHeight w:val="276"/>
          <w:jc w:val="center"/>
        </w:trPr>
        <w:tc>
          <w:tcPr>
            <w:tcW w:w="9458" w:type="dxa"/>
            <w:tcBorders>
              <w:top w:val="nil"/>
              <w:left w:val="nil"/>
              <w:bottom w:val="nil"/>
              <w:right w:val="nil"/>
            </w:tcBorders>
            <w:shd w:val="clear" w:color="auto" w:fill="auto"/>
            <w:noWrap/>
            <w:vAlign w:val="bottom"/>
            <w:hideMark/>
          </w:tcPr>
          <w:p w14:paraId="330A4B3E" w14:textId="77777777" w:rsidR="004A50EF" w:rsidRPr="00EB094E" w:rsidRDefault="004A50EF" w:rsidP="00EB094E">
            <w:pPr>
              <w:spacing w:before="0" w:after="0"/>
              <w:rPr>
                <w:sz w:val="20"/>
                <w:szCs w:val="20"/>
                <w:lang w:val="ro-RO" w:eastAsia="ro-RO"/>
              </w:rPr>
            </w:pPr>
          </w:p>
        </w:tc>
      </w:tr>
      <w:tr w:rsidR="004A50EF" w:rsidRPr="00EB094E" w14:paraId="2D746881" w14:textId="77777777" w:rsidTr="00D23FBE">
        <w:trPr>
          <w:trHeight w:val="276"/>
          <w:jc w:val="center"/>
        </w:trPr>
        <w:tc>
          <w:tcPr>
            <w:tcW w:w="9458" w:type="dxa"/>
            <w:tcBorders>
              <w:top w:val="nil"/>
              <w:left w:val="nil"/>
              <w:bottom w:val="nil"/>
              <w:right w:val="nil"/>
            </w:tcBorders>
            <w:shd w:val="clear" w:color="auto" w:fill="auto"/>
            <w:noWrap/>
            <w:vAlign w:val="bottom"/>
            <w:hideMark/>
          </w:tcPr>
          <w:p w14:paraId="34BD91DF" w14:textId="77777777" w:rsidR="004A50EF" w:rsidRPr="00EB094E" w:rsidRDefault="004A50EF" w:rsidP="00EB094E">
            <w:pPr>
              <w:spacing w:before="0" w:after="0"/>
              <w:rPr>
                <w:sz w:val="20"/>
                <w:szCs w:val="20"/>
                <w:lang w:val="ro-RO" w:eastAsia="ro-RO"/>
              </w:rPr>
            </w:pPr>
          </w:p>
        </w:tc>
      </w:tr>
      <w:tr w:rsidR="004A50EF" w:rsidRPr="00EB094E" w14:paraId="3B0CBD44" w14:textId="77777777" w:rsidTr="00D23FBE">
        <w:trPr>
          <w:trHeight w:val="276"/>
          <w:jc w:val="center"/>
        </w:trPr>
        <w:tc>
          <w:tcPr>
            <w:tcW w:w="9458" w:type="dxa"/>
            <w:tcBorders>
              <w:top w:val="nil"/>
              <w:left w:val="nil"/>
              <w:bottom w:val="nil"/>
              <w:right w:val="nil"/>
            </w:tcBorders>
            <w:shd w:val="clear" w:color="auto" w:fill="auto"/>
            <w:noWrap/>
            <w:vAlign w:val="bottom"/>
            <w:hideMark/>
          </w:tcPr>
          <w:p w14:paraId="65D9F1D4" w14:textId="77777777" w:rsidR="004A50EF" w:rsidRPr="00EB094E" w:rsidRDefault="004A50EF" w:rsidP="00EB094E">
            <w:pPr>
              <w:spacing w:before="0" w:after="0"/>
              <w:rPr>
                <w:sz w:val="20"/>
                <w:szCs w:val="20"/>
                <w:lang w:val="ro-RO" w:eastAsia="ro-RO"/>
              </w:rPr>
            </w:pPr>
          </w:p>
        </w:tc>
      </w:tr>
      <w:tr w:rsidR="004A50EF" w:rsidRPr="00EB094E" w14:paraId="1498534D" w14:textId="77777777" w:rsidTr="00D23FBE">
        <w:trPr>
          <w:trHeight w:val="276"/>
          <w:jc w:val="center"/>
        </w:trPr>
        <w:tc>
          <w:tcPr>
            <w:tcW w:w="9458" w:type="dxa"/>
            <w:tcBorders>
              <w:top w:val="nil"/>
              <w:left w:val="nil"/>
              <w:bottom w:val="nil"/>
              <w:right w:val="nil"/>
            </w:tcBorders>
            <w:shd w:val="clear" w:color="auto" w:fill="auto"/>
            <w:noWrap/>
            <w:vAlign w:val="bottom"/>
            <w:hideMark/>
          </w:tcPr>
          <w:p w14:paraId="72C5B1BE" w14:textId="77777777" w:rsidR="004A50EF" w:rsidRPr="00EB094E" w:rsidRDefault="004A50EF" w:rsidP="00EB094E">
            <w:pPr>
              <w:spacing w:before="0" w:after="0"/>
              <w:rPr>
                <w:sz w:val="20"/>
                <w:szCs w:val="20"/>
                <w:lang w:val="ro-RO" w:eastAsia="ro-RO"/>
              </w:rPr>
            </w:pPr>
          </w:p>
        </w:tc>
      </w:tr>
      <w:tr w:rsidR="004A50EF" w:rsidRPr="00EB094E" w14:paraId="25599DB5" w14:textId="77777777" w:rsidTr="00D23FBE">
        <w:trPr>
          <w:trHeight w:val="276"/>
          <w:jc w:val="center"/>
        </w:trPr>
        <w:tc>
          <w:tcPr>
            <w:tcW w:w="9458" w:type="dxa"/>
            <w:tcBorders>
              <w:top w:val="nil"/>
              <w:left w:val="nil"/>
              <w:bottom w:val="nil"/>
              <w:right w:val="nil"/>
            </w:tcBorders>
            <w:shd w:val="clear" w:color="auto" w:fill="auto"/>
            <w:noWrap/>
            <w:vAlign w:val="bottom"/>
            <w:hideMark/>
          </w:tcPr>
          <w:p w14:paraId="32C060C7" w14:textId="77777777" w:rsidR="004A50EF" w:rsidRPr="00EB094E" w:rsidRDefault="004A50EF" w:rsidP="00EB094E">
            <w:pPr>
              <w:spacing w:before="0" w:after="0"/>
              <w:rPr>
                <w:sz w:val="20"/>
                <w:szCs w:val="20"/>
                <w:lang w:val="ro-RO" w:eastAsia="ro-RO"/>
              </w:rPr>
            </w:pPr>
          </w:p>
        </w:tc>
      </w:tr>
      <w:tr w:rsidR="004A50EF" w:rsidRPr="00EB094E" w14:paraId="60245364" w14:textId="77777777" w:rsidTr="00D23FBE">
        <w:trPr>
          <w:trHeight w:val="276"/>
          <w:jc w:val="center"/>
        </w:trPr>
        <w:tc>
          <w:tcPr>
            <w:tcW w:w="9458" w:type="dxa"/>
            <w:tcBorders>
              <w:top w:val="nil"/>
              <w:left w:val="nil"/>
              <w:bottom w:val="nil"/>
              <w:right w:val="nil"/>
            </w:tcBorders>
            <w:shd w:val="clear" w:color="auto" w:fill="auto"/>
            <w:noWrap/>
            <w:vAlign w:val="bottom"/>
            <w:hideMark/>
          </w:tcPr>
          <w:p w14:paraId="7A03E06C" w14:textId="77777777" w:rsidR="004A50EF" w:rsidRPr="00EB094E" w:rsidRDefault="004A50EF" w:rsidP="00EB094E">
            <w:pPr>
              <w:spacing w:before="0" w:after="0"/>
              <w:rPr>
                <w:sz w:val="20"/>
                <w:szCs w:val="20"/>
                <w:lang w:val="ro-RO" w:eastAsia="ro-RO"/>
              </w:rPr>
            </w:pPr>
          </w:p>
        </w:tc>
      </w:tr>
      <w:tr w:rsidR="004A50EF" w:rsidRPr="00EB094E" w14:paraId="4B3AA31F" w14:textId="77777777" w:rsidTr="00D23FBE">
        <w:trPr>
          <w:trHeight w:val="276"/>
          <w:jc w:val="center"/>
        </w:trPr>
        <w:tc>
          <w:tcPr>
            <w:tcW w:w="9458" w:type="dxa"/>
            <w:tcBorders>
              <w:top w:val="nil"/>
              <w:left w:val="nil"/>
              <w:bottom w:val="nil"/>
              <w:right w:val="nil"/>
            </w:tcBorders>
            <w:shd w:val="clear" w:color="auto" w:fill="auto"/>
            <w:noWrap/>
            <w:vAlign w:val="bottom"/>
            <w:hideMark/>
          </w:tcPr>
          <w:p w14:paraId="6CA01AFC" w14:textId="77777777" w:rsidR="004A50EF" w:rsidRPr="00EB094E" w:rsidRDefault="004A50EF" w:rsidP="00EB094E">
            <w:pPr>
              <w:spacing w:before="0" w:after="0"/>
              <w:rPr>
                <w:sz w:val="20"/>
                <w:szCs w:val="20"/>
                <w:lang w:val="ro-RO" w:eastAsia="ro-RO"/>
              </w:rPr>
            </w:pPr>
          </w:p>
        </w:tc>
      </w:tr>
      <w:tr w:rsidR="004A50EF" w:rsidRPr="00EB094E" w14:paraId="04D424FA" w14:textId="77777777" w:rsidTr="00D23FBE">
        <w:trPr>
          <w:trHeight w:val="276"/>
          <w:jc w:val="center"/>
        </w:trPr>
        <w:tc>
          <w:tcPr>
            <w:tcW w:w="9458" w:type="dxa"/>
            <w:tcBorders>
              <w:top w:val="nil"/>
              <w:left w:val="nil"/>
              <w:bottom w:val="nil"/>
              <w:right w:val="nil"/>
            </w:tcBorders>
            <w:shd w:val="clear" w:color="auto" w:fill="auto"/>
            <w:noWrap/>
            <w:vAlign w:val="bottom"/>
            <w:hideMark/>
          </w:tcPr>
          <w:p w14:paraId="2390AF36" w14:textId="77777777" w:rsidR="004A50EF" w:rsidRPr="00EB094E" w:rsidRDefault="004A50EF" w:rsidP="00EB094E">
            <w:pPr>
              <w:spacing w:before="0" w:after="0"/>
              <w:rPr>
                <w:sz w:val="20"/>
                <w:szCs w:val="20"/>
                <w:lang w:val="ro-RO" w:eastAsia="ro-RO"/>
              </w:rPr>
            </w:pPr>
          </w:p>
        </w:tc>
      </w:tr>
    </w:tbl>
    <w:p w14:paraId="4C814006" w14:textId="77777777" w:rsidR="00EB094E" w:rsidRPr="000B32C7" w:rsidRDefault="00EB094E" w:rsidP="00C65A1B">
      <w:pPr>
        <w:autoSpaceDE w:val="0"/>
        <w:autoSpaceDN w:val="0"/>
        <w:adjustRightInd w:val="0"/>
        <w:spacing w:after="0"/>
        <w:rPr>
          <w:b/>
          <w:bCs/>
        </w:rPr>
      </w:pPr>
    </w:p>
    <w:p w14:paraId="4BDDFA3D" w14:textId="5525C201" w:rsidR="00C65A1B" w:rsidRDefault="00C65A1B" w:rsidP="00C65A1B">
      <w:pPr>
        <w:autoSpaceDE w:val="0"/>
        <w:autoSpaceDN w:val="0"/>
        <w:adjustRightInd w:val="0"/>
        <w:spacing w:after="0"/>
        <w:jc w:val="center"/>
        <w:rPr>
          <w:rFonts w:ascii="Arial Narrow" w:hAnsi="Arial Narrow" w:cs="Arial Narrow"/>
          <w:b/>
          <w:bCs/>
          <w:color w:val="4E82BE"/>
        </w:rPr>
      </w:pPr>
    </w:p>
    <w:p w14:paraId="54AD1A12" w14:textId="77777777" w:rsidR="00600473" w:rsidRDefault="00600473" w:rsidP="00086A9A">
      <w:pPr>
        <w:autoSpaceDE w:val="0"/>
        <w:autoSpaceDN w:val="0"/>
        <w:adjustRightInd w:val="0"/>
        <w:spacing w:after="0"/>
      </w:pPr>
    </w:p>
    <w:p w14:paraId="6FCC5C91" w14:textId="77777777" w:rsidR="00600473" w:rsidRDefault="00600473" w:rsidP="00086A9A">
      <w:pPr>
        <w:autoSpaceDE w:val="0"/>
        <w:autoSpaceDN w:val="0"/>
        <w:adjustRightInd w:val="0"/>
        <w:spacing w:after="0"/>
      </w:pPr>
    </w:p>
    <w:p w14:paraId="0B8942E5" w14:textId="258EB21E" w:rsidR="00086A9A" w:rsidRDefault="00614FDC" w:rsidP="00086A9A">
      <w:pPr>
        <w:autoSpaceDE w:val="0"/>
        <w:autoSpaceDN w:val="0"/>
        <w:adjustRightInd w:val="0"/>
        <w:spacing w:after="0"/>
      </w:pPr>
      <w:r w:rsidRPr="001448C1">
        <w:lastRenderedPageBreak/>
        <w:t xml:space="preserve">România, </w:t>
      </w:r>
      <w:r w:rsidR="00086A9A">
        <w:t xml:space="preserve">alături de </w:t>
      </w:r>
      <w:r w:rsidRPr="001448C1">
        <w:t>Bulgaria și Italia</w:t>
      </w:r>
      <w:r w:rsidR="00086A9A">
        <w:t xml:space="preserve"> are proporții de fumători adolescenți care trec de 30%</w:t>
      </w:r>
      <w:r w:rsidR="00571C5B">
        <w:t xml:space="preserve"> în anul 201</w:t>
      </w:r>
      <w:r w:rsidR="001C1E36">
        <w:t>9</w:t>
      </w:r>
      <w:r w:rsidR="00086A9A">
        <w:t xml:space="preserve">, în timp ce în </w:t>
      </w:r>
      <w:r>
        <w:t xml:space="preserve">Malta, Suedia, </w:t>
      </w:r>
      <w:r w:rsidRPr="001448C1">
        <w:t>Islanda și Norvegia</w:t>
      </w:r>
      <w:r w:rsidR="0027318B">
        <w:t xml:space="preserve"> s-au î</w:t>
      </w:r>
      <w:r>
        <w:t>nregistrat c</w:t>
      </w:r>
      <w:r w:rsidR="00C65A1B">
        <w:t xml:space="preserve">ele mai mici </w:t>
      </w:r>
      <w:r w:rsidR="00086A9A">
        <w:t>prevalențe ale fumatului-</w:t>
      </w:r>
      <w:r>
        <w:t xml:space="preserve"> mai mici sau egale cu </w:t>
      </w:r>
      <w:r w:rsidR="00C65A1B" w:rsidRPr="001448C1">
        <w:t>11%</w:t>
      </w:r>
      <w:r>
        <w:t>.</w:t>
      </w:r>
      <w:r w:rsidR="00C65A1B">
        <w:t xml:space="preserve"> </w:t>
      </w:r>
    </w:p>
    <w:p w14:paraId="3BE89E16" w14:textId="318E69F9" w:rsidR="00C65A1B" w:rsidRDefault="0027318B" w:rsidP="00086A9A">
      <w:pPr>
        <w:autoSpaceDE w:val="0"/>
        <w:autoSpaceDN w:val="0"/>
        <w:adjustRightInd w:val="0"/>
        <w:spacing w:after="0"/>
      </w:pPr>
      <w:r>
        <w:t>Î</w:t>
      </w:r>
      <w:r w:rsidR="00614FDC" w:rsidRPr="001448C1">
        <w:t>n majoritatea</w:t>
      </w:r>
      <w:r w:rsidR="00614FDC">
        <w:t xml:space="preserve"> statelor membre ratele de fumat au prezentat valori mai mari </w:t>
      </w:r>
      <w:r>
        <w:t>în râ</w:t>
      </w:r>
      <w:r w:rsidR="00C65A1B">
        <w:t xml:space="preserve">ndul </w:t>
      </w:r>
      <w:r w:rsidR="00C65A1B" w:rsidRPr="001448C1">
        <w:t>fete</w:t>
      </w:r>
      <w:r w:rsidR="00C65A1B">
        <w:t>lor</w:t>
      </w:r>
      <w:r w:rsidR="00C65A1B" w:rsidRPr="001448C1">
        <w:t>.</w:t>
      </w:r>
      <w:r w:rsidR="00086A9A">
        <w:t xml:space="preserve"> </w:t>
      </w:r>
      <w:r w:rsidR="00614FDC">
        <w:t xml:space="preserve">Astfel, </w:t>
      </w:r>
      <w:r w:rsidR="00614FDC" w:rsidRPr="001448C1">
        <w:t>în 2019</w:t>
      </w:r>
      <w:r>
        <w:t>, î</w:t>
      </w:r>
      <w:r w:rsidR="00614FDC">
        <w:t>n medie</w:t>
      </w:r>
      <w:r w:rsidR="00C65A1B" w:rsidRPr="001448C1">
        <w:t xml:space="preserve"> 22% dintre fetele de 15-16 ani</w:t>
      </w:r>
      <w:r>
        <w:t xml:space="preserve"> au raportat că</w:t>
      </w:r>
      <w:r w:rsidR="00C65A1B">
        <w:t xml:space="preserve"> au fumat </w:t>
      </w:r>
      <w:r w:rsidR="00C65A1B" w:rsidRPr="001448C1">
        <w:t>în ultima lună, comparativ cu 20% d</w:t>
      </w:r>
      <w:r w:rsidR="00973CE2">
        <w:t>intre băieți (p.108)</w:t>
      </w:r>
      <w:r w:rsidR="00086A9A" w:rsidRPr="00086A9A">
        <w:t xml:space="preserve"> </w:t>
      </w:r>
      <w:sdt>
        <w:sdtPr>
          <w:id w:val="-1199781352"/>
          <w:citation/>
        </w:sdtPr>
        <w:sdtContent>
          <w:r w:rsidR="00571C5B">
            <w:fldChar w:fldCharType="begin"/>
          </w:r>
          <w:r w:rsidR="00571C5B">
            <w:rPr>
              <w:lang w:val="ro-RO"/>
            </w:rPr>
            <w:instrText xml:space="preserve"> CITATION OECis \l 1048 </w:instrText>
          </w:r>
          <w:r w:rsidR="00571C5B">
            <w:fldChar w:fldCharType="separate"/>
          </w:r>
          <w:r w:rsidR="00CE4424">
            <w:rPr>
              <w:noProof/>
              <w:lang w:val="ro-RO"/>
            </w:rPr>
            <w:t>(OECD/European Union, Paris)</w:t>
          </w:r>
          <w:r w:rsidR="00571C5B">
            <w:fldChar w:fldCharType="end"/>
          </w:r>
        </w:sdtContent>
      </w:sdt>
    </w:p>
    <w:p w14:paraId="36002C0A" w14:textId="77777777" w:rsidR="002B5CA7" w:rsidRDefault="002B5CA7" w:rsidP="00086A9A">
      <w:pPr>
        <w:autoSpaceDE w:val="0"/>
        <w:autoSpaceDN w:val="0"/>
        <w:adjustRightInd w:val="0"/>
        <w:spacing w:after="0"/>
        <w:rPr>
          <w:b/>
          <w:bCs/>
        </w:rPr>
      </w:pPr>
    </w:p>
    <w:p w14:paraId="5E0944AA" w14:textId="195D7726" w:rsidR="00295869" w:rsidRPr="00295869" w:rsidRDefault="00295869" w:rsidP="00086A9A">
      <w:pPr>
        <w:autoSpaceDE w:val="0"/>
        <w:autoSpaceDN w:val="0"/>
        <w:adjustRightInd w:val="0"/>
        <w:spacing w:after="0"/>
        <w:rPr>
          <w:b/>
          <w:bCs/>
        </w:rPr>
      </w:pPr>
      <w:r w:rsidRPr="00295869">
        <w:rPr>
          <w:b/>
          <w:bCs/>
        </w:rPr>
        <w:t>Utilizarea țigărilor cel puțin odată de-a lungul vieții în r</w:t>
      </w:r>
      <w:r w:rsidR="008E227D">
        <w:rPr>
          <w:b/>
          <w:bCs/>
        </w:rPr>
        <w:t>â</w:t>
      </w:r>
      <w:r w:rsidRPr="00295869">
        <w:rPr>
          <w:b/>
          <w:bCs/>
        </w:rPr>
        <w:t>ndul adolescenților</w:t>
      </w:r>
    </w:p>
    <w:p w14:paraId="597EC2D8" w14:textId="7AFEAA3A" w:rsidR="00D6514B" w:rsidRPr="001448C1" w:rsidRDefault="00D6514B" w:rsidP="00086A9A">
      <w:pPr>
        <w:autoSpaceDE w:val="0"/>
        <w:autoSpaceDN w:val="0"/>
        <w:adjustRightInd w:val="0"/>
        <w:spacing w:after="0"/>
      </w:pPr>
      <w:r>
        <w:t>În ceea ce privește prevalența utilizării țigărilor de-a lungul vieții se înregistrează în medie fluctuații, determinate de participarea a tot mai multe țări de-a lungul etapelor studiului. Astfel dacă prevalența utilizării țigărilor electronice a fost de 46% în anul 2011, în 2015 prevalen</w:t>
      </w:r>
      <w:r w:rsidR="00426215">
        <w:rPr>
          <w:lang w:val="ro-RO"/>
        </w:rPr>
        <w:t>ț</w:t>
      </w:r>
      <w:r>
        <w:t>a a fost de 53,6, pentru ca în 2019 să se înregistreze o valoare de 51,1%.</w:t>
      </w:r>
    </w:p>
    <w:p w14:paraId="62A01FF0" w14:textId="09666187" w:rsidR="00D6514B" w:rsidRDefault="00D6514B" w:rsidP="00C65A1B">
      <w:r>
        <w:t xml:space="preserve">Situația pentru România a prevalenței utilizării țigărilor de-a lungul vieții are un ușor trend descendent, ajungând de la 52% în 2011, la 51,6% în 2015 și </w:t>
      </w:r>
      <w:r w:rsidR="00426215">
        <w:t>4</w:t>
      </w:r>
      <w:r>
        <w:t xml:space="preserve">9,5% în anul 2019. În ceea ce privește distribuția în funcție de gen, fetele au avut o prevalență a utilizării țigaretelor de-a lungul vieții mai mare decât băieții în anii 2011 și 2019. </w:t>
      </w:r>
      <w:sdt>
        <w:sdtPr>
          <w:id w:val="1118721495"/>
          <w:citation/>
        </w:sdtPr>
        <w:sdtContent>
          <w:r>
            <w:fldChar w:fldCharType="begin"/>
          </w:r>
          <w:r>
            <w:rPr>
              <w:lang w:val="ro-RO"/>
            </w:rPr>
            <w:instrText xml:space="preserve"> CITATION Ins23 \l 1048 </w:instrText>
          </w:r>
          <w:r>
            <w:fldChar w:fldCharType="separate"/>
          </w:r>
          <w:r w:rsidR="00CE4424">
            <w:rPr>
              <w:noProof/>
              <w:lang w:val="ro-RO"/>
            </w:rPr>
            <w:t>(Institute of Clinical Physiology, National Research Council of Italy, 2023)</w:t>
          </w:r>
          <w:r>
            <w:fldChar w:fldCharType="end"/>
          </w:r>
        </w:sdtContent>
      </w:sdt>
    </w:p>
    <w:p w14:paraId="65C93252" w14:textId="55AE41E2" w:rsidR="00C65A1B" w:rsidRDefault="001622A4" w:rsidP="00C65A1B">
      <w:r>
        <w:t>Tabel. Prevalența utilizării țigărilor de-a lungul vieții în rândul adolescenților din România total, băieți și fete</w:t>
      </w:r>
      <w:r w:rsidR="00DC59F3">
        <w:t>, 2011, 2015 și 2019 Sursa datelor:</w:t>
      </w:r>
      <w:r w:rsidR="00295869" w:rsidRPr="00295869">
        <w:rPr>
          <w:color w:val="FF0000"/>
        </w:rPr>
        <w:t xml:space="preserve"> </w:t>
      </w:r>
      <w:r w:rsidR="00295869">
        <w:t>s</w:t>
      </w:r>
      <w:r w:rsidR="00295869" w:rsidRPr="00295869">
        <w:t xml:space="preserve">tudiul ESPAD (European School Survey Project on Alcohol and Other Drugs) </w:t>
      </w:r>
      <w:sdt>
        <w:sdtPr>
          <w:id w:val="-1919467641"/>
          <w:citation/>
        </w:sdtPr>
        <w:sdtContent>
          <w:r w:rsidR="00DC59F3" w:rsidRPr="00295869">
            <w:fldChar w:fldCharType="begin"/>
          </w:r>
          <w:r w:rsidR="00DC59F3" w:rsidRPr="00295869">
            <w:rPr>
              <w:lang w:val="ro-RO"/>
            </w:rPr>
            <w:instrText xml:space="preserve"> CITATION Ins231 \l 1048 </w:instrText>
          </w:r>
          <w:r w:rsidR="00DC59F3" w:rsidRPr="00295869">
            <w:fldChar w:fldCharType="separate"/>
          </w:r>
          <w:r w:rsidR="00CE4424">
            <w:rPr>
              <w:noProof/>
              <w:lang w:val="ro-RO"/>
            </w:rPr>
            <w:t>(Institute of Clinical Physiology, National Research Council of Italy, 2023)</w:t>
          </w:r>
          <w:r w:rsidR="00DC59F3" w:rsidRPr="00295869">
            <w:fldChar w:fldCharType="end"/>
          </w:r>
        </w:sdtContent>
      </w:sdt>
    </w:p>
    <w:tbl>
      <w:tblPr>
        <w:tblStyle w:val="TableGrid"/>
        <w:tblW w:w="0" w:type="auto"/>
        <w:tblLook w:val="04A0" w:firstRow="1" w:lastRow="0" w:firstColumn="1" w:lastColumn="0" w:noHBand="0" w:noVBand="1"/>
      </w:tblPr>
      <w:tblGrid>
        <w:gridCol w:w="2337"/>
        <w:gridCol w:w="2337"/>
        <w:gridCol w:w="2338"/>
        <w:gridCol w:w="2338"/>
      </w:tblGrid>
      <w:tr w:rsidR="001622A4" w14:paraId="291B9B94" w14:textId="77777777" w:rsidTr="00DC59F3">
        <w:trPr>
          <w:tblHeader/>
        </w:trPr>
        <w:tc>
          <w:tcPr>
            <w:tcW w:w="2337" w:type="dxa"/>
          </w:tcPr>
          <w:p w14:paraId="3D13CD87" w14:textId="77777777" w:rsidR="001622A4" w:rsidRDefault="001622A4" w:rsidP="00C65A1B"/>
        </w:tc>
        <w:tc>
          <w:tcPr>
            <w:tcW w:w="2337" w:type="dxa"/>
          </w:tcPr>
          <w:p w14:paraId="3BC097B3" w14:textId="6119855A" w:rsidR="001622A4" w:rsidRPr="002B5CA7" w:rsidRDefault="001622A4" w:rsidP="00C65A1B">
            <w:pPr>
              <w:rPr>
                <w:b/>
              </w:rPr>
            </w:pPr>
            <w:r w:rsidRPr="002B5CA7">
              <w:rPr>
                <w:b/>
              </w:rPr>
              <w:t>Total</w:t>
            </w:r>
          </w:p>
        </w:tc>
        <w:tc>
          <w:tcPr>
            <w:tcW w:w="2338" w:type="dxa"/>
          </w:tcPr>
          <w:p w14:paraId="668877D4" w14:textId="687149CB" w:rsidR="001622A4" w:rsidRPr="002B5CA7" w:rsidRDefault="001622A4" w:rsidP="00C65A1B">
            <w:pPr>
              <w:rPr>
                <w:b/>
              </w:rPr>
            </w:pPr>
            <w:r w:rsidRPr="002B5CA7">
              <w:rPr>
                <w:b/>
              </w:rPr>
              <w:t>Băieți</w:t>
            </w:r>
          </w:p>
        </w:tc>
        <w:tc>
          <w:tcPr>
            <w:tcW w:w="2338" w:type="dxa"/>
          </w:tcPr>
          <w:p w14:paraId="1C69FD00" w14:textId="7F10A712" w:rsidR="001622A4" w:rsidRPr="002B5CA7" w:rsidRDefault="001622A4" w:rsidP="00C65A1B">
            <w:pPr>
              <w:rPr>
                <w:b/>
              </w:rPr>
            </w:pPr>
            <w:r w:rsidRPr="002B5CA7">
              <w:rPr>
                <w:b/>
              </w:rPr>
              <w:t>Fete</w:t>
            </w:r>
          </w:p>
        </w:tc>
      </w:tr>
      <w:tr w:rsidR="001622A4" w14:paraId="22F64713" w14:textId="77777777" w:rsidTr="001622A4">
        <w:tc>
          <w:tcPr>
            <w:tcW w:w="2337" w:type="dxa"/>
          </w:tcPr>
          <w:p w14:paraId="232C478C" w14:textId="33C906ED" w:rsidR="001622A4" w:rsidRPr="002B5CA7" w:rsidRDefault="001622A4" w:rsidP="00C65A1B">
            <w:pPr>
              <w:rPr>
                <w:b/>
              </w:rPr>
            </w:pPr>
            <w:r w:rsidRPr="002B5CA7">
              <w:rPr>
                <w:b/>
              </w:rPr>
              <w:t>2011</w:t>
            </w:r>
          </w:p>
        </w:tc>
        <w:tc>
          <w:tcPr>
            <w:tcW w:w="2337" w:type="dxa"/>
          </w:tcPr>
          <w:p w14:paraId="74C183F9" w14:textId="050AECC9" w:rsidR="001622A4" w:rsidRDefault="001622A4" w:rsidP="00C65A1B">
            <w:r>
              <w:t>52%</w:t>
            </w:r>
          </w:p>
        </w:tc>
        <w:tc>
          <w:tcPr>
            <w:tcW w:w="2338" w:type="dxa"/>
          </w:tcPr>
          <w:p w14:paraId="3EF0D78D" w14:textId="30770B7E" w:rsidR="001622A4" w:rsidRDefault="001622A4" w:rsidP="00C65A1B">
            <w:r>
              <w:t>51,8</w:t>
            </w:r>
          </w:p>
        </w:tc>
        <w:tc>
          <w:tcPr>
            <w:tcW w:w="2338" w:type="dxa"/>
          </w:tcPr>
          <w:p w14:paraId="388A0BDF" w14:textId="3C7F5DB9" w:rsidR="001622A4" w:rsidRDefault="001622A4" w:rsidP="00C65A1B">
            <w:r>
              <w:t>52,1%</w:t>
            </w:r>
          </w:p>
        </w:tc>
      </w:tr>
      <w:tr w:rsidR="001622A4" w14:paraId="3686264E" w14:textId="77777777" w:rsidTr="001622A4">
        <w:tc>
          <w:tcPr>
            <w:tcW w:w="2337" w:type="dxa"/>
          </w:tcPr>
          <w:p w14:paraId="5D116E4E" w14:textId="46A35EAB" w:rsidR="001622A4" w:rsidRPr="002B5CA7" w:rsidRDefault="001622A4" w:rsidP="00C65A1B">
            <w:pPr>
              <w:rPr>
                <w:b/>
              </w:rPr>
            </w:pPr>
            <w:r w:rsidRPr="002B5CA7">
              <w:rPr>
                <w:b/>
              </w:rPr>
              <w:t>2015</w:t>
            </w:r>
          </w:p>
        </w:tc>
        <w:tc>
          <w:tcPr>
            <w:tcW w:w="2337" w:type="dxa"/>
          </w:tcPr>
          <w:p w14:paraId="00C18E57" w14:textId="17B92738" w:rsidR="001622A4" w:rsidRDefault="001622A4" w:rsidP="00C65A1B">
            <w:r>
              <w:t>51,6%</w:t>
            </w:r>
          </w:p>
        </w:tc>
        <w:tc>
          <w:tcPr>
            <w:tcW w:w="2338" w:type="dxa"/>
          </w:tcPr>
          <w:p w14:paraId="1C7E5794" w14:textId="747CEE0D" w:rsidR="001622A4" w:rsidRDefault="001622A4" w:rsidP="00C65A1B">
            <w:r>
              <w:t>52,8</w:t>
            </w:r>
          </w:p>
        </w:tc>
        <w:tc>
          <w:tcPr>
            <w:tcW w:w="2338" w:type="dxa"/>
          </w:tcPr>
          <w:p w14:paraId="35F2968B" w14:textId="7450302C" w:rsidR="001622A4" w:rsidRDefault="001622A4" w:rsidP="00C65A1B">
            <w:r>
              <w:t>50.5</w:t>
            </w:r>
          </w:p>
        </w:tc>
      </w:tr>
      <w:tr w:rsidR="001622A4" w14:paraId="17BE8A57" w14:textId="77777777" w:rsidTr="001622A4">
        <w:tc>
          <w:tcPr>
            <w:tcW w:w="2337" w:type="dxa"/>
          </w:tcPr>
          <w:p w14:paraId="53784B5D" w14:textId="5E4315E4" w:rsidR="001622A4" w:rsidRPr="002B5CA7" w:rsidRDefault="00C049BF" w:rsidP="00C65A1B">
            <w:pPr>
              <w:rPr>
                <w:b/>
              </w:rPr>
            </w:pPr>
            <w:r w:rsidRPr="002B5CA7">
              <w:rPr>
                <w:b/>
              </w:rPr>
              <w:t>2019</w:t>
            </w:r>
          </w:p>
        </w:tc>
        <w:tc>
          <w:tcPr>
            <w:tcW w:w="2337" w:type="dxa"/>
          </w:tcPr>
          <w:p w14:paraId="48EFFE22" w14:textId="5B76303A" w:rsidR="001622A4" w:rsidRDefault="00DC59F3" w:rsidP="00C65A1B">
            <w:r>
              <w:t>49,5%</w:t>
            </w:r>
          </w:p>
        </w:tc>
        <w:tc>
          <w:tcPr>
            <w:tcW w:w="2338" w:type="dxa"/>
          </w:tcPr>
          <w:p w14:paraId="39F545E7" w14:textId="37ACF6DD" w:rsidR="001622A4" w:rsidRDefault="00DC59F3" w:rsidP="00C65A1B">
            <w:r>
              <w:t>49,4%</w:t>
            </w:r>
          </w:p>
        </w:tc>
        <w:tc>
          <w:tcPr>
            <w:tcW w:w="2338" w:type="dxa"/>
          </w:tcPr>
          <w:p w14:paraId="118789CF" w14:textId="15BE9055" w:rsidR="001622A4" w:rsidRDefault="00DC59F3" w:rsidP="00C65A1B">
            <w:r>
              <w:t>49,6%</w:t>
            </w:r>
          </w:p>
        </w:tc>
      </w:tr>
    </w:tbl>
    <w:p w14:paraId="494C5022" w14:textId="77777777" w:rsidR="00367C4C" w:rsidRDefault="00367C4C" w:rsidP="00367C4C">
      <w:pPr>
        <w:autoSpaceDE w:val="0"/>
        <w:autoSpaceDN w:val="0"/>
        <w:adjustRightInd w:val="0"/>
        <w:spacing w:after="0"/>
        <w:rPr>
          <w:b/>
          <w:bCs/>
        </w:rPr>
      </w:pPr>
    </w:p>
    <w:p w14:paraId="033CA9D7" w14:textId="070886CF" w:rsidR="00367C4C" w:rsidRPr="00295869" w:rsidRDefault="00367C4C" w:rsidP="00367C4C">
      <w:pPr>
        <w:autoSpaceDE w:val="0"/>
        <w:autoSpaceDN w:val="0"/>
        <w:adjustRightInd w:val="0"/>
        <w:spacing w:after="0"/>
        <w:rPr>
          <w:b/>
          <w:bCs/>
        </w:rPr>
      </w:pPr>
      <w:r w:rsidRPr="00295869">
        <w:rPr>
          <w:b/>
          <w:bCs/>
        </w:rPr>
        <w:t xml:space="preserve">Utilizarea țigărilor </w:t>
      </w:r>
      <w:r>
        <w:rPr>
          <w:b/>
          <w:bCs/>
        </w:rPr>
        <w:t>și țigărilor electronice</w:t>
      </w:r>
      <w:r w:rsidRPr="00295869">
        <w:rPr>
          <w:b/>
          <w:bCs/>
        </w:rPr>
        <w:t xml:space="preserve"> în r</w:t>
      </w:r>
      <w:r>
        <w:rPr>
          <w:b/>
          <w:bCs/>
        </w:rPr>
        <w:t>â</w:t>
      </w:r>
      <w:r w:rsidRPr="00295869">
        <w:rPr>
          <w:b/>
          <w:bCs/>
        </w:rPr>
        <w:t>ndul adolescenților</w:t>
      </w:r>
    </w:p>
    <w:p w14:paraId="63A51D6D" w14:textId="2A69C03A" w:rsidR="008E227D" w:rsidRDefault="00083939" w:rsidP="00083939">
      <w:r w:rsidRPr="00083939">
        <w:t xml:space="preserve">Dacă se ia în considerare prevalența cumulative a </w:t>
      </w:r>
      <w:r w:rsidR="002B5CA7">
        <w:t xml:space="preserve">utilizării de-a lungul vieții a </w:t>
      </w:r>
      <w:r w:rsidRPr="00083939">
        <w:t>țigărilor electronice și a țigărilor convenționale, în 20 de țări se observă o creștere între anii 2015 și 2019.</w:t>
      </w:r>
      <w:sdt>
        <w:sdtPr>
          <w:id w:val="-194465285"/>
          <w:citation/>
        </w:sdtPr>
        <w:sdtContent>
          <w:r>
            <w:fldChar w:fldCharType="begin"/>
          </w:r>
          <w:r w:rsidRPr="006C0EE9">
            <w:instrText xml:space="preserve"> CITATION ESP20 \l 1048 </w:instrText>
          </w:r>
          <w:r>
            <w:fldChar w:fldCharType="separate"/>
          </w:r>
          <w:r w:rsidR="00CE4424">
            <w:rPr>
              <w:noProof/>
            </w:rPr>
            <w:t xml:space="preserve"> </w:t>
          </w:r>
          <w:r w:rsidR="00CE4424" w:rsidRPr="00CE4424">
            <w:rPr>
              <w:noProof/>
            </w:rPr>
            <w:t>(ESPAD Group, 2020)</w:t>
          </w:r>
          <w:r>
            <w:fldChar w:fldCharType="end"/>
          </w:r>
        </w:sdtContent>
      </w:sdt>
    </w:p>
    <w:p w14:paraId="6EA0ADD4" w14:textId="0B803411" w:rsidR="006C0EE9" w:rsidRDefault="006C0EE9" w:rsidP="006C0EE9">
      <w:r>
        <w:t xml:space="preserve">În același mod, dacă se consideră prevalența cumulativă a </w:t>
      </w:r>
      <w:r w:rsidRPr="00B561EC">
        <w:t xml:space="preserve">consumul </w:t>
      </w:r>
      <w:r>
        <w:t>de țigarete</w:t>
      </w:r>
      <w:r w:rsidRPr="00B561EC">
        <w:t xml:space="preserve"> convenț</w:t>
      </w:r>
      <w:r>
        <w:t xml:space="preserve">ionale </w:t>
      </w:r>
      <w:r w:rsidRPr="00B561EC">
        <w:t xml:space="preserve">și al  </w:t>
      </w:r>
      <w:r>
        <w:t xml:space="preserve">celor </w:t>
      </w:r>
      <w:r w:rsidRPr="00B561EC">
        <w:t>electronice, în 2019, rata prevalenței pe parcursul vieții în</w:t>
      </w:r>
      <w:r w:rsidRPr="00111436">
        <w:t xml:space="preserve"> rândul băieților a </w:t>
      </w:r>
      <w:r w:rsidRPr="00B561EC">
        <w:t>fost mult mai mare decât cea a fetelor comparativ cu anii precedenți (57% față de 50</w:t>
      </w:r>
      <w:r>
        <w:t>%) (Figura 1</w:t>
      </w:r>
      <w:r w:rsidR="00825EE9">
        <w:t>2</w:t>
      </w:r>
      <w:r>
        <w:t>)</w:t>
      </w:r>
      <w:r w:rsidRPr="00B561EC">
        <w:t>(p.92).</w:t>
      </w:r>
      <w:sdt>
        <w:sdtPr>
          <w:id w:val="-2028558162"/>
          <w:citation/>
        </w:sdtPr>
        <w:sdtContent>
          <w:r>
            <w:fldChar w:fldCharType="begin"/>
          </w:r>
          <w:r w:rsidRPr="006C0EE9">
            <w:instrText xml:space="preserve"> CITATION ESP20 \l 1048 </w:instrText>
          </w:r>
          <w:r>
            <w:fldChar w:fldCharType="separate"/>
          </w:r>
          <w:r w:rsidR="00CE4424">
            <w:rPr>
              <w:noProof/>
            </w:rPr>
            <w:t xml:space="preserve"> </w:t>
          </w:r>
          <w:r w:rsidR="00CE4424" w:rsidRPr="00CE4424">
            <w:rPr>
              <w:noProof/>
            </w:rPr>
            <w:t>(ESPAD Group, 2020)</w:t>
          </w:r>
          <w:r>
            <w:fldChar w:fldCharType="end"/>
          </w:r>
        </w:sdtContent>
      </w:sdt>
    </w:p>
    <w:p w14:paraId="5E5DA3D3" w14:textId="77777777" w:rsidR="00CE4424" w:rsidRDefault="00CE4424" w:rsidP="00CE4424">
      <w:pPr>
        <w:pStyle w:val="Pa4"/>
        <w:spacing w:after="100"/>
        <w:jc w:val="both"/>
        <w:rPr>
          <w:rFonts w:ascii="Times New Roman" w:hAnsi="Times New Roman"/>
          <w:color w:val="FF0000"/>
          <w:sz w:val="22"/>
          <w:szCs w:val="22"/>
        </w:rPr>
      </w:pPr>
      <w:r>
        <w:rPr>
          <w:rFonts w:ascii="Times New Roman" w:hAnsi="Times New Roman"/>
          <w:sz w:val="22"/>
          <w:szCs w:val="22"/>
        </w:rPr>
        <w:t xml:space="preserve">În </w:t>
      </w:r>
      <w:r w:rsidRPr="004E3F39">
        <w:rPr>
          <w:rFonts w:ascii="Times New Roman" w:hAnsi="Times New Roman"/>
          <w:sz w:val="22"/>
          <w:szCs w:val="22"/>
        </w:rPr>
        <w:t xml:space="preserve">majoritatea țărilor </w:t>
      </w:r>
      <w:r>
        <w:rPr>
          <w:rFonts w:ascii="Times New Roman" w:hAnsi="Times New Roman"/>
          <w:sz w:val="22"/>
          <w:szCs w:val="22"/>
        </w:rPr>
        <w:t>r</w:t>
      </w:r>
      <w:r w:rsidRPr="004E3F39">
        <w:rPr>
          <w:rFonts w:ascii="Times New Roman" w:hAnsi="Times New Roman"/>
          <w:sz w:val="22"/>
          <w:szCs w:val="22"/>
        </w:rPr>
        <w:t>ezultatele ESPAD din 2019 arată o utilizare medie a țigărilor electroni</w:t>
      </w:r>
      <w:r>
        <w:rPr>
          <w:rFonts w:ascii="Times New Roman" w:hAnsi="Times New Roman"/>
          <w:sz w:val="22"/>
          <w:szCs w:val="22"/>
        </w:rPr>
        <w:t>ce pe parcursul vieții de 40</w:t>
      </w:r>
      <w:r w:rsidRPr="004E3F39">
        <w:rPr>
          <w:rFonts w:ascii="Times New Roman" w:hAnsi="Times New Roman"/>
          <w:sz w:val="22"/>
          <w:szCs w:val="22"/>
        </w:rPr>
        <w:t>%</w:t>
      </w:r>
      <w:r>
        <w:rPr>
          <w:rFonts w:ascii="Times New Roman" w:hAnsi="Times New Roman"/>
          <w:sz w:val="22"/>
          <w:szCs w:val="22"/>
        </w:rPr>
        <w:t xml:space="preserve"> în rândul elevilor</w:t>
      </w:r>
      <w:r w:rsidRPr="004E3F39">
        <w:rPr>
          <w:rFonts w:ascii="Times New Roman" w:hAnsi="Times New Roman"/>
          <w:sz w:val="22"/>
          <w:szCs w:val="22"/>
        </w:rPr>
        <w:t xml:space="preserve"> de 16 ani, variind de la 18 % în Serbia la 65 % în Lituania, cu rate mai mari pentru b</w:t>
      </w:r>
      <w:r>
        <w:rPr>
          <w:rFonts w:ascii="Times New Roman" w:hAnsi="Times New Roman"/>
          <w:sz w:val="22"/>
          <w:szCs w:val="22"/>
        </w:rPr>
        <w:t>ăieți decât pentru fete, în medie (46</w:t>
      </w:r>
      <w:r w:rsidRPr="004E3F39">
        <w:rPr>
          <w:rFonts w:ascii="Times New Roman" w:hAnsi="Times New Roman"/>
          <w:sz w:val="22"/>
          <w:szCs w:val="22"/>
        </w:rPr>
        <w:t>% pentru băie</w:t>
      </w:r>
      <w:r>
        <w:rPr>
          <w:rFonts w:ascii="Times New Roman" w:hAnsi="Times New Roman"/>
          <w:sz w:val="22"/>
          <w:szCs w:val="22"/>
        </w:rPr>
        <w:t>ți față de 34% pentru fete)</w:t>
      </w:r>
      <w:r w:rsidRPr="004E3F39">
        <w:rPr>
          <w:rFonts w:ascii="Times New Roman" w:hAnsi="Times New Roman"/>
          <w:sz w:val="22"/>
          <w:szCs w:val="22"/>
        </w:rPr>
        <w:t>.</w:t>
      </w:r>
      <w:r>
        <w:rPr>
          <w:rFonts w:ascii="Times New Roman" w:hAnsi="Times New Roman"/>
          <w:sz w:val="22"/>
          <w:szCs w:val="22"/>
        </w:rPr>
        <w:t xml:space="preserve"> </w:t>
      </w:r>
    </w:p>
    <w:p w14:paraId="4962B38A" w14:textId="77777777" w:rsidR="00CE4424" w:rsidRDefault="00CE4424" w:rsidP="00CE4424">
      <w:pPr>
        <w:pStyle w:val="Pa4"/>
        <w:spacing w:after="100"/>
        <w:jc w:val="both"/>
        <w:rPr>
          <w:rFonts w:ascii="Times New Roman" w:hAnsi="Times New Roman"/>
          <w:sz w:val="22"/>
          <w:szCs w:val="22"/>
        </w:rPr>
      </w:pPr>
      <w:r>
        <w:rPr>
          <w:rFonts w:ascii="Times New Roman" w:hAnsi="Times New Roman"/>
          <w:sz w:val="22"/>
          <w:szCs w:val="22"/>
        </w:rPr>
        <w:t>Mai mult, 11% și 1,7 % dintre elevi</w:t>
      </w:r>
      <w:r w:rsidRPr="004E3F39">
        <w:rPr>
          <w:rFonts w:ascii="Times New Roman" w:hAnsi="Times New Roman"/>
          <w:sz w:val="22"/>
          <w:szCs w:val="22"/>
        </w:rPr>
        <w:t xml:space="preserve"> au raportat prima utilizare și, respectiv, utilizarea zilnică la vârsta de 13 ani sau mai puțin.</w:t>
      </w:r>
      <w:r>
        <w:rPr>
          <w:rFonts w:ascii="Times New Roman" w:hAnsi="Times New Roman"/>
          <w:sz w:val="22"/>
          <w:szCs w:val="22"/>
        </w:rPr>
        <w:t xml:space="preserve"> Media europeană</w:t>
      </w:r>
      <w:r w:rsidRPr="00F027FC">
        <w:rPr>
          <w:rFonts w:ascii="Times New Roman" w:hAnsi="Times New Roman"/>
          <w:sz w:val="22"/>
          <w:szCs w:val="22"/>
        </w:rPr>
        <w:t xml:space="preserve"> a consumului țigărilor electroni</w:t>
      </w:r>
      <w:r>
        <w:rPr>
          <w:rFonts w:ascii="Times New Roman" w:hAnsi="Times New Roman"/>
          <w:sz w:val="22"/>
          <w:szCs w:val="22"/>
        </w:rPr>
        <w:t>ce de-a lungul vieții î</w:t>
      </w:r>
      <w:r w:rsidRPr="00F027FC">
        <w:rPr>
          <w:rFonts w:ascii="Times New Roman" w:hAnsi="Times New Roman"/>
          <w:sz w:val="22"/>
          <w:szCs w:val="22"/>
        </w:rPr>
        <w:t>n anul 2019, în rându</w:t>
      </w:r>
      <w:r>
        <w:rPr>
          <w:rFonts w:ascii="Times New Roman" w:hAnsi="Times New Roman"/>
          <w:sz w:val="22"/>
          <w:szCs w:val="22"/>
        </w:rPr>
        <w:t xml:space="preserve">l băieților (46%) a fost </w:t>
      </w:r>
      <w:r w:rsidRPr="00F027FC">
        <w:rPr>
          <w:rFonts w:ascii="Times New Roman" w:hAnsi="Times New Roman"/>
          <w:sz w:val="22"/>
          <w:szCs w:val="22"/>
        </w:rPr>
        <w:t xml:space="preserve">mai </w:t>
      </w:r>
      <w:r>
        <w:rPr>
          <w:rFonts w:ascii="Times New Roman" w:hAnsi="Times New Roman"/>
          <w:sz w:val="22"/>
          <w:szCs w:val="22"/>
        </w:rPr>
        <w:t>răspândit decât fumatul convențional (43%).</w:t>
      </w:r>
    </w:p>
    <w:p w14:paraId="51D4D157" w14:textId="77777777" w:rsidR="00CE4424" w:rsidRDefault="00CE4424" w:rsidP="006C0EE9"/>
    <w:p w14:paraId="6C6FE7AB" w14:textId="77777777" w:rsidR="00CE4424" w:rsidRDefault="00CE4424" w:rsidP="006C0EE9"/>
    <w:p w14:paraId="53587DA0" w14:textId="30225360" w:rsidR="006C0EE9" w:rsidRPr="00111436" w:rsidRDefault="006C0EE9" w:rsidP="006C0EE9">
      <w:r>
        <w:lastRenderedPageBreak/>
        <w:t>Fig.1</w:t>
      </w:r>
      <w:r w:rsidR="00825EE9">
        <w:t>2</w:t>
      </w:r>
      <w:r w:rsidRPr="00111436">
        <w:t xml:space="preserve">. </w:t>
      </w:r>
      <w:r>
        <w:t>Procentul c</w:t>
      </w:r>
      <w:r w:rsidRPr="00111436">
        <w:t>onsumul</w:t>
      </w:r>
      <w:r>
        <w:t>ui</w:t>
      </w:r>
      <w:r w:rsidRPr="00111436">
        <w:t xml:space="preserve"> de țigări de-a</w:t>
      </w:r>
      <w:r>
        <w:t xml:space="preserve"> lungul vieții în funcție de gen: tendința</w:t>
      </w:r>
      <w:r w:rsidRPr="00111436">
        <w:t xml:space="preserve"> în 30 de țări </w:t>
      </w:r>
      <w:r>
        <w:t>intre anii 1995-2019 (p.93)</w:t>
      </w:r>
    </w:p>
    <w:p w14:paraId="04D8547F" w14:textId="77777777" w:rsidR="006C0EE9" w:rsidRPr="00017048" w:rsidRDefault="006C0EE9" w:rsidP="006C0EE9">
      <w:pPr>
        <w:pStyle w:val="Default"/>
        <w:spacing w:before="100" w:beforeAutospacing="1" w:after="100" w:afterAutospacing="1" w:line="240" w:lineRule="auto"/>
        <w:contextualSpacing/>
        <w:rPr>
          <w:color w:val="FF0000"/>
          <w:sz w:val="22"/>
          <w:szCs w:val="22"/>
        </w:rPr>
      </w:pPr>
    </w:p>
    <w:p w14:paraId="7A2E38CA" w14:textId="77777777" w:rsidR="006C0EE9" w:rsidRDefault="006C0EE9" w:rsidP="00D23FBE">
      <w:pPr>
        <w:pStyle w:val="Default"/>
        <w:jc w:val="center"/>
      </w:pPr>
      <w:r w:rsidRPr="00A17DC7">
        <w:rPr>
          <w:noProof/>
        </w:rPr>
        <w:drawing>
          <wp:inline distT="0" distB="0" distL="0" distR="0" wp14:anchorId="3D36C42B" wp14:editId="4E7DAA7C">
            <wp:extent cx="3365312" cy="1790700"/>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73471" cy="1795041"/>
                    </a:xfrm>
                    <a:prstGeom prst="rect">
                      <a:avLst/>
                    </a:prstGeom>
                    <a:noFill/>
                    <a:ln>
                      <a:noFill/>
                    </a:ln>
                  </pic:spPr>
                </pic:pic>
              </a:graphicData>
            </a:graphic>
          </wp:inline>
        </w:drawing>
      </w:r>
    </w:p>
    <w:p w14:paraId="55A9E2EF" w14:textId="77777777" w:rsidR="006C0EE9" w:rsidRDefault="006C0EE9" w:rsidP="006C0EE9">
      <w:pPr>
        <w:pStyle w:val="Pa4"/>
        <w:spacing w:after="100"/>
        <w:jc w:val="both"/>
        <w:rPr>
          <w:rFonts w:ascii="Times New Roman" w:hAnsi="Times New Roman"/>
          <w:sz w:val="22"/>
          <w:szCs w:val="22"/>
        </w:rPr>
      </w:pPr>
      <w:r w:rsidRPr="004E3F39">
        <w:rPr>
          <w:rFonts w:ascii="Times New Roman" w:hAnsi="Times New Roman"/>
          <w:sz w:val="22"/>
          <w:szCs w:val="22"/>
        </w:rPr>
        <w:t>Deși reglementările la niv</w:t>
      </w:r>
      <w:r>
        <w:rPr>
          <w:rFonts w:ascii="Times New Roman" w:hAnsi="Times New Roman"/>
          <w:sz w:val="22"/>
          <w:szCs w:val="22"/>
        </w:rPr>
        <w:t xml:space="preserve">el european sunt </w:t>
      </w:r>
      <w:r w:rsidRPr="004E3F39">
        <w:rPr>
          <w:rFonts w:ascii="Times New Roman" w:hAnsi="Times New Roman"/>
          <w:sz w:val="22"/>
          <w:szCs w:val="22"/>
        </w:rPr>
        <w:t xml:space="preserve">variate de la o țară la alta, prevenirea </w:t>
      </w:r>
      <w:r>
        <w:rPr>
          <w:rFonts w:ascii="Times New Roman" w:hAnsi="Times New Roman"/>
          <w:sz w:val="22"/>
          <w:szCs w:val="22"/>
        </w:rPr>
        <w:t xml:space="preserve">atât a fumatului convențional cât și a țigărilor electronice și a produselor cu tutun încălzit de </w:t>
      </w:r>
      <w:r w:rsidRPr="004E3F39">
        <w:rPr>
          <w:rFonts w:ascii="Times New Roman" w:hAnsi="Times New Roman"/>
          <w:sz w:val="22"/>
          <w:szCs w:val="22"/>
        </w:rPr>
        <w:t>nefumători, în special minori și grupuri vulnerabile, este una dintre recomandările OMS</w:t>
      </w:r>
      <w:r>
        <w:rPr>
          <w:rFonts w:ascii="Times New Roman" w:hAnsi="Times New Roman"/>
          <w:sz w:val="22"/>
          <w:szCs w:val="22"/>
        </w:rPr>
        <w:t xml:space="preserve">. </w:t>
      </w:r>
    </w:p>
    <w:p w14:paraId="0DD5488D" w14:textId="77777777" w:rsidR="00825EE9" w:rsidRDefault="00825EE9" w:rsidP="00295869">
      <w:pPr>
        <w:pStyle w:val="Pa22"/>
        <w:spacing w:before="160" w:after="160"/>
        <w:ind w:left="180" w:hanging="180"/>
        <w:jc w:val="both"/>
        <w:rPr>
          <w:rFonts w:ascii="Times New Roman" w:hAnsi="Times New Roman"/>
          <w:b/>
          <w:bCs/>
          <w:sz w:val="22"/>
          <w:szCs w:val="22"/>
        </w:rPr>
      </w:pPr>
    </w:p>
    <w:p w14:paraId="51E4D924" w14:textId="1ED4390A" w:rsidR="00295869" w:rsidRPr="00295869" w:rsidRDefault="00295869" w:rsidP="00295869">
      <w:pPr>
        <w:pStyle w:val="Pa22"/>
        <w:spacing w:before="160" w:after="160"/>
        <w:ind w:left="180" w:hanging="180"/>
        <w:jc w:val="both"/>
        <w:rPr>
          <w:rFonts w:ascii="Times New Roman" w:hAnsi="Times New Roman"/>
          <w:b/>
          <w:bCs/>
          <w:sz w:val="22"/>
          <w:szCs w:val="22"/>
        </w:rPr>
      </w:pPr>
      <w:r w:rsidRPr="00295869">
        <w:rPr>
          <w:rFonts w:ascii="Times New Roman" w:hAnsi="Times New Roman"/>
          <w:b/>
          <w:bCs/>
          <w:sz w:val="22"/>
          <w:szCs w:val="22"/>
        </w:rPr>
        <w:t>Fumatul zilnic în rândul adolescenților</w:t>
      </w:r>
    </w:p>
    <w:p w14:paraId="536B1B42" w14:textId="4FDD32C8" w:rsidR="00295869" w:rsidRPr="008E227D" w:rsidRDefault="00295869" w:rsidP="00295869">
      <w:pPr>
        <w:pStyle w:val="Default"/>
        <w:jc w:val="both"/>
        <w:rPr>
          <w:rFonts w:cs="Trivia Sans Book"/>
          <w:color w:val="auto"/>
          <w:sz w:val="22"/>
          <w:szCs w:val="22"/>
        </w:rPr>
      </w:pPr>
      <w:r w:rsidRPr="008E227D">
        <w:rPr>
          <w:rFonts w:cs="Trivia Sans Book"/>
          <w:color w:val="auto"/>
          <w:sz w:val="22"/>
          <w:szCs w:val="22"/>
        </w:rPr>
        <w:t xml:space="preserve">În general, 10% dintre elevii participanți la studiul ESPAD au răspuns că au fumat țigări </w:t>
      </w:r>
      <w:r w:rsidR="008E227D" w:rsidRPr="008E227D">
        <w:rPr>
          <w:rFonts w:cs="Trivia Sans Book"/>
          <w:color w:val="auto"/>
          <w:sz w:val="22"/>
          <w:szCs w:val="22"/>
        </w:rPr>
        <w:t xml:space="preserve">convenționale și 12 % că au fumat țigări convenționale </w:t>
      </w:r>
      <w:r w:rsidR="002030FB">
        <w:rPr>
          <w:rFonts w:cs="Trivia Sans Book"/>
          <w:color w:val="auto"/>
          <w:sz w:val="22"/>
          <w:szCs w:val="22"/>
        </w:rPr>
        <w:t>ș</w:t>
      </w:r>
      <w:r w:rsidR="008E227D" w:rsidRPr="008E227D">
        <w:rPr>
          <w:rFonts w:cs="Trivia Sans Book"/>
          <w:color w:val="auto"/>
          <w:sz w:val="22"/>
          <w:szCs w:val="22"/>
        </w:rPr>
        <w:t>i electronice</w:t>
      </w:r>
      <w:r w:rsidRPr="008E227D">
        <w:rPr>
          <w:rFonts w:cs="Trivia Sans Book"/>
          <w:color w:val="auto"/>
          <w:sz w:val="22"/>
          <w:szCs w:val="22"/>
        </w:rPr>
        <w:t xml:space="preserve">în fiecare zi în ultimele 30 de zile. </w:t>
      </w:r>
      <w:sdt>
        <w:sdtPr>
          <w:rPr>
            <w:rFonts w:cs="Trivia Sans Book"/>
            <w:color w:val="auto"/>
            <w:sz w:val="22"/>
            <w:szCs w:val="22"/>
          </w:rPr>
          <w:id w:val="1827476621"/>
          <w:citation/>
        </w:sdtPr>
        <w:sdtContent>
          <w:r w:rsidRPr="008E227D">
            <w:rPr>
              <w:rFonts w:cs="Trivia Sans Book"/>
              <w:color w:val="auto"/>
              <w:sz w:val="22"/>
              <w:szCs w:val="22"/>
            </w:rPr>
            <w:fldChar w:fldCharType="begin"/>
          </w:r>
          <w:r w:rsidRPr="008E227D">
            <w:rPr>
              <w:rFonts w:cs="Trivia Sans Book"/>
              <w:color w:val="auto"/>
              <w:sz w:val="22"/>
              <w:szCs w:val="22"/>
              <w:lang w:val="ro-RO"/>
            </w:rPr>
            <w:instrText xml:space="preserve"> CITATION ESP20 \l 1048 </w:instrText>
          </w:r>
          <w:r w:rsidRPr="008E227D">
            <w:rPr>
              <w:rFonts w:cs="Trivia Sans Book"/>
              <w:color w:val="auto"/>
              <w:sz w:val="22"/>
              <w:szCs w:val="22"/>
            </w:rPr>
            <w:fldChar w:fldCharType="separate"/>
          </w:r>
          <w:r w:rsidR="00CE4424" w:rsidRPr="00CE4424">
            <w:rPr>
              <w:rFonts w:cs="Trivia Sans Book"/>
              <w:noProof/>
              <w:color w:val="auto"/>
              <w:sz w:val="22"/>
              <w:szCs w:val="22"/>
              <w:lang w:val="ro-RO"/>
            </w:rPr>
            <w:t>(ESPAD Group, 2020)</w:t>
          </w:r>
          <w:r w:rsidRPr="008E227D">
            <w:rPr>
              <w:rFonts w:cs="Trivia Sans Book"/>
              <w:color w:val="auto"/>
              <w:sz w:val="22"/>
              <w:szCs w:val="22"/>
            </w:rPr>
            <w:fldChar w:fldCharType="end"/>
          </w:r>
        </w:sdtContent>
      </w:sdt>
      <w:r w:rsidRPr="008E227D">
        <w:rPr>
          <w:rFonts w:cs="Trivia Sans Book"/>
          <w:color w:val="auto"/>
          <w:sz w:val="22"/>
          <w:szCs w:val="22"/>
        </w:rPr>
        <w:t xml:space="preserve">. Fumatul conventional zilnic a variat de la 1,9 % în Islanda, 2,5% în Norvegia până la 22% în Bulgaria. </w:t>
      </w:r>
      <w:r w:rsidR="008E227D" w:rsidRPr="008E227D">
        <w:rPr>
          <w:rFonts w:cs="Trivia Sans Book"/>
          <w:color w:val="auto"/>
          <w:sz w:val="22"/>
          <w:szCs w:val="22"/>
        </w:rPr>
        <w:t xml:space="preserve">România, alături de Slovacia și Ungaria a înregistrat o prelalență de 18%, similar cu proporția de 19% înregistrată în Croația și Italia </w:t>
      </w:r>
      <w:r w:rsidRPr="008E227D">
        <w:rPr>
          <w:rFonts w:cs="Trivia Sans Book"/>
          <w:color w:val="auto"/>
          <w:sz w:val="22"/>
          <w:szCs w:val="22"/>
        </w:rPr>
        <w:t>(Fig. 1</w:t>
      </w:r>
      <w:r w:rsidR="00825EE9">
        <w:rPr>
          <w:rFonts w:cs="Trivia Sans Book"/>
          <w:color w:val="auto"/>
          <w:sz w:val="22"/>
          <w:szCs w:val="22"/>
        </w:rPr>
        <w:t>3</w:t>
      </w:r>
      <w:r w:rsidRPr="008E227D">
        <w:rPr>
          <w:rFonts w:cs="Trivia Sans Book"/>
          <w:color w:val="auto"/>
          <w:sz w:val="22"/>
          <w:szCs w:val="22"/>
        </w:rPr>
        <w:t>) (p.56)</w:t>
      </w:r>
      <w:r w:rsidR="008E227D">
        <w:rPr>
          <w:rFonts w:cs="Trivia Sans Book"/>
          <w:color w:val="auto"/>
          <w:sz w:val="22"/>
          <w:szCs w:val="22"/>
        </w:rPr>
        <w:t xml:space="preserve"> </w:t>
      </w:r>
      <w:sdt>
        <w:sdtPr>
          <w:rPr>
            <w:rFonts w:cs="Trivia Sans Book"/>
            <w:color w:val="auto"/>
            <w:sz w:val="22"/>
            <w:szCs w:val="22"/>
          </w:rPr>
          <w:id w:val="-887020640"/>
          <w:citation/>
        </w:sdtPr>
        <w:sdtContent>
          <w:r w:rsidR="008E227D">
            <w:rPr>
              <w:rFonts w:cs="Trivia Sans Book"/>
              <w:color w:val="auto"/>
              <w:sz w:val="22"/>
              <w:szCs w:val="22"/>
            </w:rPr>
            <w:fldChar w:fldCharType="begin"/>
          </w:r>
          <w:r w:rsidR="008E227D">
            <w:rPr>
              <w:rFonts w:cs="Trivia Sans Book"/>
              <w:color w:val="auto"/>
              <w:sz w:val="22"/>
              <w:szCs w:val="22"/>
              <w:lang w:val="ro-RO"/>
            </w:rPr>
            <w:instrText xml:space="preserve"> CITATION ESP20 \l 1048 </w:instrText>
          </w:r>
          <w:r w:rsidR="008E227D">
            <w:rPr>
              <w:rFonts w:cs="Trivia Sans Book"/>
              <w:color w:val="auto"/>
              <w:sz w:val="22"/>
              <w:szCs w:val="22"/>
            </w:rPr>
            <w:fldChar w:fldCharType="separate"/>
          </w:r>
          <w:r w:rsidR="00CE4424" w:rsidRPr="00CE4424">
            <w:rPr>
              <w:rFonts w:cs="Trivia Sans Book"/>
              <w:noProof/>
              <w:color w:val="auto"/>
              <w:sz w:val="22"/>
              <w:szCs w:val="22"/>
              <w:lang w:val="ro-RO"/>
            </w:rPr>
            <w:t>(ESPAD Group, 2020)</w:t>
          </w:r>
          <w:r w:rsidR="008E227D">
            <w:rPr>
              <w:rFonts w:cs="Trivia Sans Book"/>
              <w:color w:val="auto"/>
              <w:sz w:val="22"/>
              <w:szCs w:val="22"/>
            </w:rPr>
            <w:fldChar w:fldCharType="end"/>
          </w:r>
        </w:sdtContent>
      </w:sdt>
    </w:p>
    <w:p w14:paraId="0CE538AD" w14:textId="2B2545B7" w:rsidR="00295869" w:rsidRPr="00CC05A7" w:rsidRDefault="00295869" w:rsidP="00295869">
      <w:pPr>
        <w:pStyle w:val="Default"/>
        <w:rPr>
          <w:rFonts w:cs="Trivia Sans Book"/>
          <w:color w:val="auto"/>
          <w:sz w:val="22"/>
          <w:szCs w:val="22"/>
        </w:rPr>
      </w:pPr>
      <w:r w:rsidRPr="008E227D">
        <w:rPr>
          <w:rFonts w:cs="Trivia Sans Book"/>
          <w:color w:val="auto"/>
          <w:sz w:val="22"/>
          <w:szCs w:val="22"/>
        </w:rPr>
        <w:t>Fig.1</w:t>
      </w:r>
      <w:r w:rsidR="00825EE9">
        <w:rPr>
          <w:rFonts w:cs="Trivia Sans Book"/>
          <w:color w:val="auto"/>
          <w:sz w:val="22"/>
          <w:szCs w:val="22"/>
        </w:rPr>
        <w:t>3</w:t>
      </w:r>
      <w:r w:rsidRPr="008E227D">
        <w:rPr>
          <w:rFonts w:cs="Trivia Sans Book"/>
          <w:color w:val="auto"/>
          <w:sz w:val="22"/>
          <w:szCs w:val="22"/>
        </w:rPr>
        <w:t xml:space="preserve"> </w:t>
      </w:r>
      <w:r w:rsidR="008E227D" w:rsidRPr="008E227D">
        <w:rPr>
          <w:rFonts w:cs="Trivia Sans Book"/>
          <w:color w:val="auto"/>
          <w:sz w:val="22"/>
          <w:szCs w:val="22"/>
        </w:rPr>
        <w:t>C</w:t>
      </w:r>
      <w:r w:rsidRPr="008E227D">
        <w:rPr>
          <w:rFonts w:cs="Trivia Sans Book"/>
          <w:color w:val="auto"/>
          <w:sz w:val="22"/>
          <w:szCs w:val="22"/>
        </w:rPr>
        <w:t xml:space="preserve">onsumul </w:t>
      </w:r>
      <w:r w:rsidRPr="00CC05A7">
        <w:rPr>
          <w:rFonts w:cs="Trivia Sans Book"/>
          <w:color w:val="auto"/>
          <w:sz w:val="22"/>
          <w:szCs w:val="22"/>
        </w:rPr>
        <w:t>zilnic de țigări: prevalența în ultimele 30 de zile</w:t>
      </w:r>
      <w:r w:rsidR="008E227D">
        <w:rPr>
          <w:rFonts w:cs="Trivia Sans Book"/>
          <w:color w:val="auto"/>
          <w:sz w:val="22"/>
          <w:szCs w:val="22"/>
        </w:rPr>
        <w:t>. Sursa datelor: studiul E</w:t>
      </w:r>
      <w:r w:rsidR="008E27D0">
        <w:rPr>
          <w:rFonts w:cs="Trivia Sans Book"/>
          <w:color w:val="auto"/>
          <w:sz w:val="22"/>
          <w:szCs w:val="22"/>
        </w:rPr>
        <w:t>SPAD</w:t>
      </w:r>
      <w:r w:rsidR="008E227D">
        <w:rPr>
          <w:rFonts w:cs="Trivia Sans Book"/>
          <w:color w:val="auto"/>
          <w:sz w:val="22"/>
          <w:szCs w:val="22"/>
        </w:rPr>
        <w:t xml:space="preserve">, </w:t>
      </w:r>
      <w:r>
        <w:rPr>
          <w:rFonts w:cs="Trivia Sans Book"/>
          <w:color w:val="auto"/>
          <w:sz w:val="22"/>
          <w:szCs w:val="22"/>
        </w:rPr>
        <w:t>p.56</w:t>
      </w:r>
      <w:r w:rsidR="008E227D">
        <w:rPr>
          <w:rFonts w:cs="Trivia Sans Book"/>
          <w:color w:val="auto"/>
          <w:sz w:val="22"/>
          <w:szCs w:val="22"/>
        </w:rPr>
        <w:t xml:space="preserve"> </w:t>
      </w:r>
      <w:sdt>
        <w:sdtPr>
          <w:rPr>
            <w:rFonts w:cs="Trivia Sans Book"/>
            <w:color w:val="auto"/>
            <w:sz w:val="22"/>
            <w:szCs w:val="22"/>
          </w:rPr>
          <w:id w:val="-1145898582"/>
          <w:citation/>
        </w:sdtPr>
        <w:sdtContent>
          <w:r w:rsidR="008E227D">
            <w:rPr>
              <w:rFonts w:cs="Trivia Sans Book"/>
              <w:color w:val="auto"/>
              <w:sz w:val="22"/>
              <w:szCs w:val="22"/>
            </w:rPr>
            <w:fldChar w:fldCharType="begin"/>
          </w:r>
          <w:r w:rsidR="008E227D">
            <w:rPr>
              <w:rFonts w:cs="Trivia Sans Book"/>
              <w:color w:val="auto"/>
              <w:sz w:val="22"/>
              <w:szCs w:val="22"/>
              <w:lang w:val="ro-RO"/>
            </w:rPr>
            <w:instrText xml:space="preserve"> CITATION ESP20 \l 1048 </w:instrText>
          </w:r>
          <w:r w:rsidR="008E227D">
            <w:rPr>
              <w:rFonts w:cs="Trivia Sans Book"/>
              <w:color w:val="auto"/>
              <w:sz w:val="22"/>
              <w:szCs w:val="22"/>
            </w:rPr>
            <w:fldChar w:fldCharType="separate"/>
          </w:r>
          <w:r w:rsidR="00CE4424" w:rsidRPr="00CE4424">
            <w:rPr>
              <w:rFonts w:cs="Trivia Sans Book"/>
              <w:noProof/>
              <w:color w:val="auto"/>
              <w:sz w:val="22"/>
              <w:szCs w:val="22"/>
              <w:lang w:val="ro-RO"/>
            </w:rPr>
            <w:t>(ESPAD Group, 2020)</w:t>
          </w:r>
          <w:r w:rsidR="008E227D">
            <w:rPr>
              <w:rFonts w:cs="Trivia Sans Book"/>
              <w:color w:val="auto"/>
              <w:sz w:val="22"/>
              <w:szCs w:val="22"/>
            </w:rPr>
            <w:fldChar w:fldCharType="end"/>
          </w:r>
        </w:sdtContent>
      </w:sdt>
    </w:p>
    <w:p w14:paraId="50BBEB0F" w14:textId="77777777" w:rsidR="00295869" w:rsidRPr="00ED3CD5" w:rsidRDefault="00295869" w:rsidP="00D23FBE">
      <w:pPr>
        <w:pStyle w:val="Default"/>
        <w:jc w:val="center"/>
        <w:rPr>
          <w:rFonts w:cs="Trivia Sans Book"/>
          <w:color w:val="FF0000"/>
          <w:sz w:val="22"/>
          <w:szCs w:val="22"/>
        </w:rPr>
      </w:pPr>
      <w:r w:rsidRPr="00ED3CD5">
        <w:rPr>
          <w:rFonts w:cs="Trivia Sans Book"/>
          <w:noProof/>
          <w:color w:val="FF0000"/>
          <w:sz w:val="22"/>
          <w:szCs w:val="22"/>
        </w:rPr>
        <w:drawing>
          <wp:inline distT="0" distB="0" distL="0" distR="0" wp14:anchorId="25FD9665" wp14:editId="70319DF3">
            <wp:extent cx="4041320" cy="30384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57845" cy="3050899"/>
                    </a:xfrm>
                    <a:prstGeom prst="rect">
                      <a:avLst/>
                    </a:prstGeom>
                    <a:noFill/>
                    <a:ln>
                      <a:noFill/>
                    </a:ln>
                  </pic:spPr>
                </pic:pic>
              </a:graphicData>
            </a:graphic>
          </wp:inline>
        </w:drawing>
      </w:r>
    </w:p>
    <w:p w14:paraId="543590B7" w14:textId="39E488B3" w:rsidR="00295869" w:rsidRPr="008D3898" w:rsidRDefault="00295869" w:rsidP="00295869">
      <w:pPr>
        <w:pStyle w:val="Default"/>
        <w:jc w:val="both"/>
        <w:rPr>
          <w:rFonts w:cs="Trivia Sans Book"/>
          <w:color w:val="auto"/>
          <w:sz w:val="22"/>
          <w:szCs w:val="22"/>
        </w:rPr>
      </w:pPr>
      <w:r>
        <w:rPr>
          <w:rFonts w:cs="Trivia Sans Book"/>
          <w:color w:val="auto"/>
          <w:sz w:val="22"/>
          <w:szCs w:val="22"/>
        </w:rPr>
        <w:lastRenderedPageBreak/>
        <w:t xml:space="preserve">Nu </w:t>
      </w:r>
      <w:r w:rsidRPr="00CC05A7">
        <w:rPr>
          <w:rFonts w:cs="Trivia Sans Book"/>
          <w:color w:val="auto"/>
          <w:sz w:val="22"/>
          <w:szCs w:val="22"/>
        </w:rPr>
        <w:t>au</w:t>
      </w:r>
      <w:r>
        <w:rPr>
          <w:rFonts w:cs="Trivia Sans Book"/>
          <w:color w:val="auto"/>
          <w:sz w:val="22"/>
          <w:szCs w:val="22"/>
        </w:rPr>
        <w:t xml:space="preserve"> fost</w:t>
      </w:r>
      <w:r w:rsidRPr="00CC05A7">
        <w:rPr>
          <w:rFonts w:cs="Trivia Sans Book"/>
          <w:color w:val="auto"/>
          <w:sz w:val="22"/>
          <w:szCs w:val="22"/>
        </w:rPr>
        <w:t xml:space="preserve"> constatat</w:t>
      </w:r>
      <w:r>
        <w:rPr>
          <w:rFonts w:cs="Trivia Sans Book"/>
          <w:color w:val="auto"/>
          <w:sz w:val="22"/>
          <w:szCs w:val="22"/>
        </w:rPr>
        <w:t>e</w:t>
      </w:r>
      <w:r w:rsidRPr="00CC05A7">
        <w:rPr>
          <w:rFonts w:cs="Trivia Sans Book"/>
          <w:color w:val="auto"/>
          <w:sz w:val="22"/>
          <w:szCs w:val="22"/>
        </w:rPr>
        <w:t xml:space="preserve"> diferențe </w:t>
      </w:r>
      <w:r w:rsidR="00825EE9">
        <w:rPr>
          <w:rFonts w:cs="Trivia Sans Book"/>
          <w:color w:val="auto"/>
          <w:sz w:val="22"/>
          <w:szCs w:val="22"/>
        </w:rPr>
        <w:t>ale</w:t>
      </w:r>
      <w:r w:rsidRPr="00CC05A7">
        <w:rPr>
          <w:rFonts w:cs="Trivia Sans Book"/>
          <w:color w:val="auto"/>
          <w:sz w:val="22"/>
          <w:szCs w:val="22"/>
        </w:rPr>
        <w:t xml:space="preserve"> ratel</w:t>
      </w:r>
      <w:r w:rsidR="00825EE9">
        <w:rPr>
          <w:rFonts w:cs="Trivia Sans Book"/>
          <w:color w:val="auto"/>
          <w:sz w:val="22"/>
          <w:szCs w:val="22"/>
        </w:rPr>
        <w:t>or</w:t>
      </w:r>
      <w:r w:rsidRPr="00CC05A7">
        <w:rPr>
          <w:rFonts w:cs="Trivia Sans Book"/>
          <w:color w:val="auto"/>
          <w:sz w:val="22"/>
          <w:szCs w:val="22"/>
        </w:rPr>
        <w:t xml:space="preserve"> medii ale fumatului zilnic între băi</w:t>
      </w:r>
      <w:r>
        <w:rPr>
          <w:rFonts w:cs="Trivia Sans Book"/>
          <w:color w:val="auto"/>
          <w:sz w:val="22"/>
          <w:szCs w:val="22"/>
        </w:rPr>
        <w:t>eți și fete (10%), îns</w:t>
      </w:r>
      <w:r w:rsidR="00825EE9">
        <w:rPr>
          <w:rFonts w:cs="Trivia Sans Book"/>
          <w:color w:val="auto"/>
          <w:sz w:val="22"/>
          <w:szCs w:val="22"/>
        </w:rPr>
        <w:t>ă</w:t>
      </w:r>
      <w:r>
        <w:rPr>
          <w:rFonts w:cs="Trivia Sans Book"/>
          <w:color w:val="auto"/>
          <w:sz w:val="22"/>
          <w:szCs w:val="22"/>
        </w:rPr>
        <w:t xml:space="preserve"> s-</w:t>
      </w:r>
      <w:r w:rsidRPr="00CC05A7">
        <w:rPr>
          <w:rFonts w:cs="Trivia Sans Book"/>
          <w:color w:val="auto"/>
          <w:sz w:val="22"/>
          <w:szCs w:val="22"/>
        </w:rPr>
        <w:t xml:space="preserve">au observat diferențe </w:t>
      </w:r>
      <w:r>
        <w:rPr>
          <w:rFonts w:cs="Trivia Sans Book"/>
          <w:color w:val="auto"/>
          <w:sz w:val="22"/>
          <w:szCs w:val="22"/>
        </w:rPr>
        <w:t>ușoare de gen atunci când s-au luat</w:t>
      </w:r>
      <w:r w:rsidRPr="00CC05A7">
        <w:rPr>
          <w:rFonts w:cs="Trivia Sans Book"/>
          <w:color w:val="auto"/>
          <w:sz w:val="22"/>
          <w:szCs w:val="22"/>
        </w:rPr>
        <w:t xml:space="preserve"> în co</w:t>
      </w:r>
      <w:r>
        <w:rPr>
          <w:rFonts w:cs="Trivia Sans Book"/>
          <w:color w:val="auto"/>
          <w:sz w:val="22"/>
          <w:szCs w:val="22"/>
        </w:rPr>
        <w:t>nsiderare atât fumatul convențional</w:t>
      </w:r>
      <w:r w:rsidR="00825EE9">
        <w:rPr>
          <w:rFonts w:cs="Trivia Sans Book"/>
          <w:color w:val="auto"/>
          <w:sz w:val="22"/>
          <w:szCs w:val="22"/>
        </w:rPr>
        <w:t>, cât și fumatul de țigari electronice</w:t>
      </w:r>
      <w:r w:rsidRPr="00CC05A7">
        <w:rPr>
          <w:rFonts w:cs="Trivia Sans Book"/>
          <w:color w:val="auto"/>
          <w:sz w:val="22"/>
          <w:szCs w:val="22"/>
        </w:rPr>
        <w:t xml:space="preserve"> (13% pentru băieți față de 11% pentru fete)</w:t>
      </w:r>
      <w:r>
        <w:rPr>
          <w:rFonts w:cs="Trivia Sans Book"/>
          <w:color w:val="auto"/>
          <w:sz w:val="22"/>
          <w:szCs w:val="22"/>
        </w:rPr>
        <w:t>.</w:t>
      </w:r>
      <w:r w:rsidRPr="008D3898">
        <w:t xml:space="preserve"> </w:t>
      </w:r>
      <w:r>
        <w:rPr>
          <w:rFonts w:cs="Trivia Sans Book"/>
          <w:color w:val="auto"/>
          <w:sz w:val="22"/>
          <w:szCs w:val="22"/>
        </w:rPr>
        <w:t xml:space="preserve">La nivel de țară, s-au observat </w:t>
      </w:r>
      <w:r w:rsidRPr="008D3898">
        <w:rPr>
          <w:rFonts w:cs="Trivia Sans Book"/>
          <w:color w:val="auto"/>
          <w:sz w:val="22"/>
          <w:szCs w:val="22"/>
        </w:rPr>
        <w:t>diferențe semnificative de gen în ceea ce privește consumul zilnic de țigări (p &lt; 0,05), cu rate mai mari la băieți decât la fete în Kosovo, Georgia, Ucraina, Macedonia de Nord, Muntenegru, Irlanda, Țările de Jos, Norvegia și Grecia și cu rate mai mari la fete decât la băieți în Bulgaria, Slovacia, Spania, Ungaria și Suedia</w:t>
      </w:r>
      <w:r w:rsidR="00825EE9">
        <w:rPr>
          <w:rFonts w:cs="Trivia Sans Book"/>
          <w:color w:val="auto"/>
          <w:sz w:val="22"/>
          <w:szCs w:val="22"/>
        </w:rPr>
        <w:t>. În România ratele au fost similare pentru băieți și fete.</w:t>
      </w:r>
      <w:r w:rsidRPr="008D3898">
        <w:rPr>
          <w:rFonts w:cs="Trivia Sans Book"/>
          <w:color w:val="auto"/>
          <w:sz w:val="22"/>
          <w:szCs w:val="22"/>
        </w:rPr>
        <w:t xml:space="preserve"> </w:t>
      </w:r>
      <w:r>
        <w:rPr>
          <w:rFonts w:cs="Trivia Sans Book"/>
          <w:color w:val="auto"/>
          <w:sz w:val="22"/>
          <w:szCs w:val="22"/>
        </w:rPr>
        <w:t xml:space="preserve"> (Fig.1</w:t>
      </w:r>
      <w:r w:rsidR="00825EE9">
        <w:rPr>
          <w:rFonts w:cs="Trivia Sans Book"/>
          <w:color w:val="auto"/>
          <w:sz w:val="22"/>
          <w:szCs w:val="22"/>
        </w:rPr>
        <w:t>4</w:t>
      </w:r>
      <w:r>
        <w:rPr>
          <w:rFonts w:cs="Trivia Sans Book"/>
          <w:color w:val="auto"/>
          <w:sz w:val="22"/>
          <w:szCs w:val="22"/>
        </w:rPr>
        <w:t>) (p.56)</w:t>
      </w:r>
      <w:sdt>
        <w:sdtPr>
          <w:rPr>
            <w:rFonts w:cs="Trivia Sans Book"/>
            <w:color w:val="auto"/>
            <w:sz w:val="22"/>
            <w:szCs w:val="22"/>
          </w:rPr>
          <w:id w:val="718100079"/>
          <w:citation/>
        </w:sdtPr>
        <w:sdtContent>
          <w:r w:rsidR="008E227D">
            <w:rPr>
              <w:rFonts w:cs="Trivia Sans Book"/>
              <w:color w:val="auto"/>
              <w:sz w:val="22"/>
              <w:szCs w:val="22"/>
            </w:rPr>
            <w:fldChar w:fldCharType="begin"/>
          </w:r>
          <w:r w:rsidR="008E227D">
            <w:rPr>
              <w:rFonts w:cs="Trivia Sans Book"/>
              <w:color w:val="auto"/>
              <w:sz w:val="22"/>
              <w:szCs w:val="22"/>
              <w:lang w:val="ro-RO"/>
            </w:rPr>
            <w:instrText xml:space="preserve"> CITATION ESP20 \l 1048 </w:instrText>
          </w:r>
          <w:r w:rsidR="008E227D">
            <w:rPr>
              <w:rFonts w:cs="Trivia Sans Book"/>
              <w:color w:val="auto"/>
              <w:sz w:val="22"/>
              <w:szCs w:val="22"/>
            </w:rPr>
            <w:fldChar w:fldCharType="separate"/>
          </w:r>
          <w:r w:rsidR="00CE4424">
            <w:rPr>
              <w:rFonts w:cs="Trivia Sans Book"/>
              <w:noProof/>
              <w:color w:val="auto"/>
              <w:sz w:val="22"/>
              <w:szCs w:val="22"/>
              <w:lang w:val="ro-RO"/>
            </w:rPr>
            <w:t xml:space="preserve"> </w:t>
          </w:r>
          <w:r w:rsidR="00CE4424" w:rsidRPr="00CE4424">
            <w:rPr>
              <w:rFonts w:cs="Trivia Sans Book"/>
              <w:noProof/>
              <w:color w:val="auto"/>
              <w:sz w:val="22"/>
              <w:szCs w:val="22"/>
              <w:lang w:val="ro-RO"/>
            </w:rPr>
            <w:t>(ESPAD Group, 2020)</w:t>
          </w:r>
          <w:r w:rsidR="008E227D">
            <w:rPr>
              <w:rFonts w:cs="Trivia Sans Book"/>
              <w:color w:val="auto"/>
              <w:sz w:val="22"/>
              <w:szCs w:val="22"/>
            </w:rPr>
            <w:fldChar w:fldCharType="end"/>
          </w:r>
        </w:sdtContent>
      </w:sdt>
    </w:p>
    <w:p w14:paraId="2E63F1F7" w14:textId="1B40A748" w:rsidR="002030FB" w:rsidRDefault="00083939" w:rsidP="00083939">
      <w:pPr>
        <w:pStyle w:val="Default"/>
        <w:rPr>
          <w:rFonts w:cs="Trivia Sans Book"/>
          <w:color w:val="auto"/>
          <w:sz w:val="22"/>
          <w:szCs w:val="22"/>
        </w:rPr>
      </w:pPr>
      <w:r w:rsidRPr="00DA534A">
        <w:rPr>
          <w:rFonts w:cs="Trivia Sans Book"/>
          <w:color w:val="auto"/>
          <w:sz w:val="22"/>
          <w:szCs w:val="22"/>
        </w:rPr>
        <w:t>Fig.1</w:t>
      </w:r>
      <w:r w:rsidR="00825EE9">
        <w:rPr>
          <w:rFonts w:cs="Trivia Sans Book"/>
          <w:color w:val="auto"/>
          <w:sz w:val="22"/>
          <w:szCs w:val="22"/>
        </w:rPr>
        <w:t>4</w:t>
      </w:r>
      <w:r w:rsidRPr="00DA534A">
        <w:rPr>
          <w:rFonts w:cs="Trivia Sans Book"/>
          <w:color w:val="auto"/>
          <w:sz w:val="22"/>
          <w:szCs w:val="22"/>
        </w:rPr>
        <w:t xml:space="preserve"> Prevalența consumului zilnic de țigări în ultimele 30 de zile în func</w:t>
      </w:r>
      <w:r>
        <w:rPr>
          <w:rFonts w:cs="Trivia Sans Book"/>
          <w:color w:val="auto"/>
          <w:sz w:val="22"/>
          <w:szCs w:val="22"/>
        </w:rPr>
        <w:t>ț</w:t>
      </w:r>
      <w:r w:rsidRPr="00DA534A">
        <w:rPr>
          <w:rFonts w:cs="Trivia Sans Book"/>
          <w:color w:val="auto"/>
          <w:sz w:val="22"/>
          <w:szCs w:val="22"/>
        </w:rPr>
        <w:t>ie de gen (p.57)</w:t>
      </w:r>
      <w:sdt>
        <w:sdtPr>
          <w:rPr>
            <w:rFonts w:cs="Trivia Sans Book"/>
            <w:color w:val="auto"/>
            <w:sz w:val="22"/>
            <w:szCs w:val="22"/>
          </w:rPr>
          <w:id w:val="1119110222"/>
          <w:citation/>
        </w:sdtPr>
        <w:sdtContent>
          <w:r>
            <w:rPr>
              <w:rFonts w:cs="Trivia Sans Book"/>
              <w:color w:val="auto"/>
              <w:sz w:val="22"/>
              <w:szCs w:val="22"/>
            </w:rPr>
            <w:fldChar w:fldCharType="begin"/>
          </w:r>
          <w:r>
            <w:rPr>
              <w:rFonts w:cs="Trivia Sans Book"/>
              <w:color w:val="auto"/>
              <w:sz w:val="22"/>
              <w:szCs w:val="22"/>
              <w:lang w:val="ro-RO"/>
            </w:rPr>
            <w:instrText xml:space="preserve"> CITATION ESP20 \l 1048 </w:instrText>
          </w:r>
          <w:r>
            <w:rPr>
              <w:rFonts w:cs="Trivia Sans Book"/>
              <w:color w:val="auto"/>
              <w:sz w:val="22"/>
              <w:szCs w:val="22"/>
            </w:rPr>
            <w:fldChar w:fldCharType="separate"/>
          </w:r>
          <w:r w:rsidR="00CE4424">
            <w:rPr>
              <w:rFonts w:cs="Trivia Sans Book"/>
              <w:noProof/>
              <w:color w:val="auto"/>
              <w:sz w:val="22"/>
              <w:szCs w:val="22"/>
              <w:lang w:val="ro-RO"/>
            </w:rPr>
            <w:t xml:space="preserve"> </w:t>
          </w:r>
          <w:r w:rsidR="00CE4424" w:rsidRPr="00CE4424">
            <w:rPr>
              <w:rFonts w:cs="Trivia Sans Book"/>
              <w:noProof/>
              <w:color w:val="auto"/>
              <w:sz w:val="22"/>
              <w:szCs w:val="22"/>
              <w:lang w:val="ro-RO"/>
            </w:rPr>
            <w:t>(ESPAD Group, 2020)</w:t>
          </w:r>
          <w:r>
            <w:rPr>
              <w:rFonts w:cs="Trivia Sans Book"/>
              <w:color w:val="auto"/>
              <w:sz w:val="22"/>
              <w:szCs w:val="22"/>
            </w:rPr>
            <w:fldChar w:fldCharType="end"/>
          </w:r>
        </w:sdtContent>
      </w:sdt>
    </w:p>
    <w:p w14:paraId="236E6431" w14:textId="51E08BE7" w:rsidR="00083939" w:rsidRPr="00ED3CD5" w:rsidRDefault="00083939" w:rsidP="00D23FBE">
      <w:pPr>
        <w:pStyle w:val="Default"/>
        <w:jc w:val="center"/>
        <w:rPr>
          <w:rFonts w:cs="Trivia Sans Book"/>
          <w:color w:val="FF0000"/>
          <w:sz w:val="22"/>
          <w:szCs w:val="22"/>
        </w:rPr>
      </w:pPr>
      <w:r w:rsidRPr="00ED3CD5">
        <w:rPr>
          <w:rFonts w:cs="Trivia Sans Book"/>
          <w:noProof/>
          <w:color w:val="FF0000"/>
          <w:sz w:val="22"/>
          <w:szCs w:val="22"/>
        </w:rPr>
        <w:drawing>
          <wp:inline distT="0" distB="0" distL="0" distR="0" wp14:anchorId="5A8A580F" wp14:editId="2236DF07">
            <wp:extent cx="3635375" cy="4733925"/>
            <wp:effectExtent l="0" t="0" r="317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62211" cy="4768870"/>
                    </a:xfrm>
                    <a:prstGeom prst="rect">
                      <a:avLst/>
                    </a:prstGeom>
                    <a:noFill/>
                    <a:ln>
                      <a:noFill/>
                    </a:ln>
                  </pic:spPr>
                </pic:pic>
              </a:graphicData>
            </a:graphic>
          </wp:inline>
        </w:drawing>
      </w:r>
    </w:p>
    <w:p w14:paraId="7305A5E1" w14:textId="4D5B598C" w:rsidR="00C66C62" w:rsidRPr="002030FB" w:rsidRDefault="00063982" w:rsidP="002030FB">
      <w:pPr>
        <w:pStyle w:val="Pa4"/>
        <w:spacing w:after="100"/>
        <w:jc w:val="both"/>
        <w:rPr>
          <w:rFonts w:ascii="Times New Roman" w:hAnsi="Times New Roman"/>
          <w:sz w:val="22"/>
          <w:szCs w:val="22"/>
        </w:rPr>
      </w:pPr>
      <w:r w:rsidRPr="002030FB">
        <w:rPr>
          <w:rFonts w:ascii="Times New Roman" w:hAnsi="Times New Roman"/>
          <w:sz w:val="22"/>
          <w:szCs w:val="22"/>
        </w:rPr>
        <w:t>În ultimele 30 de zile, pe ambele genuri, consumul țigărilor electronice a fost mai frecvent decât fumatul convenț</w:t>
      </w:r>
      <w:r w:rsidR="00F027FC" w:rsidRPr="002030FB">
        <w:rPr>
          <w:rFonts w:ascii="Times New Roman" w:hAnsi="Times New Roman"/>
          <w:sz w:val="22"/>
          <w:szCs w:val="22"/>
        </w:rPr>
        <w:t>ional în 15 țări.</w:t>
      </w:r>
      <w:r w:rsidR="00441D6D" w:rsidRPr="002030FB">
        <w:rPr>
          <w:rFonts w:ascii="Times New Roman" w:hAnsi="Times New Roman"/>
          <w:sz w:val="22"/>
          <w:szCs w:val="22"/>
        </w:rPr>
        <w:t xml:space="preserve"> </w:t>
      </w:r>
      <w:r w:rsidR="00C66C62" w:rsidRPr="002030FB">
        <w:rPr>
          <w:rFonts w:ascii="Times New Roman" w:hAnsi="Times New Roman"/>
          <w:sz w:val="22"/>
          <w:szCs w:val="22"/>
        </w:rPr>
        <w:t>O creștere semnificativă a dezvoltării și utilizării sistemelor electronice de livrare a nicotinei a fost observată la nivel mondial, iar țigările electronice de prima generație și de generația ulterioară devin din ce în ce mai populare în rândul adolescenților din multe țări.</w:t>
      </w:r>
    </w:p>
    <w:p w14:paraId="3AB9A6C5" w14:textId="41B4FCD5" w:rsidR="00441D6D" w:rsidRDefault="00C66C62" w:rsidP="002030FB">
      <w:pPr>
        <w:pStyle w:val="Pa4"/>
        <w:spacing w:after="100"/>
        <w:jc w:val="both"/>
        <w:rPr>
          <w:rFonts w:ascii="Times New Roman" w:hAnsi="Times New Roman"/>
          <w:sz w:val="22"/>
          <w:szCs w:val="22"/>
        </w:rPr>
      </w:pPr>
      <w:r w:rsidRPr="002030FB">
        <w:rPr>
          <w:rFonts w:ascii="Times New Roman" w:hAnsi="Times New Roman"/>
          <w:sz w:val="22"/>
          <w:szCs w:val="22"/>
        </w:rPr>
        <w:t xml:space="preserve">De exemplu, în Statele Unite, prevalența utilizării </w:t>
      </w:r>
      <w:r w:rsidR="002030FB" w:rsidRPr="002030FB">
        <w:rPr>
          <w:rFonts w:ascii="Times New Roman" w:hAnsi="Times New Roman"/>
          <w:sz w:val="22"/>
          <w:szCs w:val="22"/>
        </w:rPr>
        <w:t xml:space="preserve">acestor produse noi </w:t>
      </w:r>
      <w:r w:rsidRPr="002030FB">
        <w:rPr>
          <w:rFonts w:ascii="Times New Roman" w:hAnsi="Times New Roman"/>
          <w:sz w:val="22"/>
          <w:szCs w:val="22"/>
        </w:rPr>
        <w:t>în rândul tinerilor (cu vârsta cuprinsă între 10-24 de ani) a crescut substanțial în ultimii 5 ani (Cullen et al., 2018), iar cel mai recent raport al</w:t>
      </w:r>
      <w:r w:rsidR="00AE320A" w:rsidRPr="002030FB">
        <w:rPr>
          <w:rFonts w:ascii="Times New Roman" w:hAnsi="Times New Roman"/>
          <w:sz w:val="22"/>
          <w:szCs w:val="22"/>
        </w:rPr>
        <w:t xml:space="preserve"> studiului “Monitorizarea Viitorului”</w:t>
      </w:r>
      <w:r w:rsidRPr="002030FB">
        <w:rPr>
          <w:rFonts w:ascii="Times New Roman" w:hAnsi="Times New Roman"/>
          <w:sz w:val="22"/>
          <w:szCs w:val="22"/>
        </w:rPr>
        <w:t xml:space="preserve"> a estimat că mai mult de o treime dintre elevii de liceu au folosit țigări electronice în ultimul an (Johnston et al., 2020).</w:t>
      </w:r>
    </w:p>
    <w:p w14:paraId="4ED59A7D" w14:textId="4378AADC" w:rsidR="00CE4424" w:rsidRPr="00CE4424" w:rsidRDefault="00CE4424" w:rsidP="00CE4424">
      <w:pPr>
        <w:pStyle w:val="Pa4"/>
        <w:spacing w:after="100"/>
        <w:jc w:val="both"/>
        <w:rPr>
          <w:rFonts w:ascii="Times New Roman" w:hAnsi="Times New Roman"/>
          <w:sz w:val="22"/>
          <w:szCs w:val="22"/>
        </w:rPr>
      </w:pPr>
      <w:r w:rsidRPr="00CE4424">
        <w:rPr>
          <w:rFonts w:ascii="Times New Roman" w:hAnsi="Times New Roman"/>
          <w:sz w:val="22"/>
          <w:szCs w:val="22"/>
        </w:rPr>
        <w:lastRenderedPageBreak/>
        <w:t xml:space="preserve">Conform ultimelor date colectate în cadrul studiului YRBSS (Youth Risk Behavior Surveillance System), realizat de Institutul Național de Sănătate Publică în perioada octombrie-decembrie 2022 (studiu menționat anterior) </w:t>
      </w:r>
      <w:sdt>
        <w:sdtPr>
          <w:rPr>
            <w:rFonts w:ascii="Times New Roman" w:hAnsi="Times New Roman"/>
            <w:sz w:val="22"/>
            <w:szCs w:val="22"/>
          </w:rPr>
          <w:id w:val="870957100"/>
          <w:citation/>
        </w:sdtPr>
        <w:sdtContent>
          <w:r w:rsidRPr="00CE4424">
            <w:rPr>
              <w:rFonts w:ascii="Times New Roman" w:hAnsi="Times New Roman"/>
              <w:sz w:val="22"/>
              <w:szCs w:val="22"/>
            </w:rPr>
            <w:fldChar w:fldCharType="begin"/>
          </w:r>
          <w:r w:rsidRPr="00CE4424">
            <w:rPr>
              <w:rFonts w:ascii="Times New Roman" w:hAnsi="Times New Roman"/>
              <w:sz w:val="22"/>
              <w:szCs w:val="22"/>
            </w:rPr>
            <w:instrText xml:space="preserve">CITATION Ins22 \l 1048 </w:instrText>
          </w:r>
          <w:r w:rsidRPr="00CE4424">
            <w:rPr>
              <w:rFonts w:ascii="Times New Roman" w:hAnsi="Times New Roman"/>
              <w:sz w:val="22"/>
              <w:szCs w:val="22"/>
            </w:rPr>
            <w:fldChar w:fldCharType="separate"/>
          </w:r>
          <w:r w:rsidRPr="00CE4424">
            <w:rPr>
              <w:rFonts w:ascii="Times New Roman" w:hAnsi="Times New Roman"/>
              <w:noProof/>
              <w:sz w:val="22"/>
              <w:szCs w:val="22"/>
            </w:rPr>
            <w:t>(Institutul Național de Sănătate Publică, 2022)</w:t>
          </w:r>
          <w:r w:rsidRPr="00CE4424">
            <w:rPr>
              <w:rFonts w:ascii="Times New Roman" w:hAnsi="Times New Roman"/>
              <w:sz w:val="22"/>
              <w:szCs w:val="22"/>
            </w:rPr>
            <w:fldChar w:fldCharType="end"/>
          </w:r>
        </w:sdtContent>
      </w:sdt>
      <w:r w:rsidRPr="00CE4424">
        <w:rPr>
          <w:rFonts w:ascii="Times New Roman" w:hAnsi="Times New Roman"/>
          <w:sz w:val="22"/>
          <w:szCs w:val="22"/>
        </w:rPr>
        <w:t>, 54.7% dintre elevii respondenți din clasele aIXa-aXIIIa din România au spus că au fumat țigări lelectronice sau produse cu tutun încălzit în ultimele 30 de zile.</w:t>
      </w:r>
      <w:r w:rsidR="00CA00B6">
        <w:rPr>
          <w:rFonts w:ascii="Times New Roman" w:hAnsi="Times New Roman"/>
          <w:sz w:val="22"/>
          <w:szCs w:val="22"/>
        </w:rPr>
        <w:t xml:space="preserve"> 8,5% dintre elevii claselor IX-XIII respondenți în cadrul studiului YRBSS au spus că în ultima lună au fumat țigări electronice sau produse cu tutun încălzit (8,8% dintre fete și 7,7%dintre băieți).</w:t>
      </w:r>
    </w:p>
    <w:p w14:paraId="7F3F9B1F" w14:textId="575442C1" w:rsidR="00C66C62" w:rsidRPr="00CE4424" w:rsidRDefault="00C66C62" w:rsidP="00CE4424">
      <w:pPr>
        <w:pStyle w:val="Pa4"/>
        <w:spacing w:after="100"/>
        <w:jc w:val="both"/>
        <w:rPr>
          <w:rFonts w:ascii="Times New Roman" w:hAnsi="Times New Roman"/>
          <w:sz w:val="22"/>
          <w:szCs w:val="22"/>
        </w:rPr>
      </w:pPr>
      <w:r w:rsidRPr="00CE4424">
        <w:rPr>
          <w:rFonts w:ascii="Times New Roman" w:hAnsi="Times New Roman"/>
          <w:sz w:val="22"/>
          <w:szCs w:val="22"/>
        </w:rPr>
        <w:t>Utilizarea țigărilor electronice în rândul adolescenților este o preocupare, deoar</w:t>
      </w:r>
      <w:r w:rsidR="0067136E" w:rsidRPr="00CE4424">
        <w:rPr>
          <w:rFonts w:ascii="Times New Roman" w:hAnsi="Times New Roman"/>
          <w:sz w:val="22"/>
          <w:szCs w:val="22"/>
        </w:rPr>
        <w:t xml:space="preserve">ece amploarea oricăror efecte </w:t>
      </w:r>
      <w:r w:rsidRPr="00CE4424">
        <w:rPr>
          <w:rFonts w:ascii="Times New Roman" w:hAnsi="Times New Roman"/>
          <w:sz w:val="22"/>
          <w:szCs w:val="22"/>
        </w:rPr>
        <w:t>asupra sănătății nu este bine înțeleasă; există o dez</w:t>
      </w:r>
      <w:r w:rsidR="0067136E" w:rsidRPr="00CE4424">
        <w:rPr>
          <w:rFonts w:ascii="Times New Roman" w:hAnsi="Times New Roman"/>
          <w:sz w:val="22"/>
          <w:szCs w:val="22"/>
        </w:rPr>
        <w:t xml:space="preserve">batere în curs de desfășurare cu privire atat la riscurile cât și la </w:t>
      </w:r>
      <w:r w:rsidRPr="00CE4424">
        <w:rPr>
          <w:rFonts w:ascii="Times New Roman" w:hAnsi="Times New Roman"/>
          <w:sz w:val="22"/>
          <w:szCs w:val="22"/>
        </w:rPr>
        <w:t>implicații</w:t>
      </w:r>
      <w:r w:rsidR="0067136E" w:rsidRPr="00CE4424">
        <w:rPr>
          <w:rFonts w:ascii="Times New Roman" w:hAnsi="Times New Roman"/>
          <w:sz w:val="22"/>
          <w:szCs w:val="22"/>
        </w:rPr>
        <w:t>le</w:t>
      </w:r>
      <w:r w:rsidRPr="00CE4424">
        <w:rPr>
          <w:rFonts w:ascii="Times New Roman" w:hAnsi="Times New Roman"/>
          <w:sz w:val="22"/>
          <w:szCs w:val="22"/>
        </w:rPr>
        <w:t xml:space="preserve"> pe termen lung asupra sănătății ale utilizării acestor produse.</w:t>
      </w:r>
    </w:p>
    <w:p w14:paraId="462EE002" w14:textId="653B0588" w:rsidR="003804A8" w:rsidRPr="00CE4424" w:rsidRDefault="00C66C62" w:rsidP="00CE4424">
      <w:pPr>
        <w:pStyle w:val="Pa4"/>
        <w:spacing w:after="100"/>
        <w:jc w:val="both"/>
        <w:rPr>
          <w:rFonts w:ascii="Times New Roman" w:hAnsi="Times New Roman"/>
          <w:sz w:val="22"/>
          <w:szCs w:val="22"/>
        </w:rPr>
      </w:pPr>
      <w:r w:rsidRPr="00CE4424">
        <w:rPr>
          <w:rFonts w:ascii="Times New Roman" w:hAnsi="Times New Roman"/>
          <w:sz w:val="22"/>
          <w:szCs w:val="22"/>
        </w:rPr>
        <w:t>Din aceste motive, Forumul Societăților Internaționale de Respirație (</w:t>
      </w:r>
      <w:r w:rsidR="002030FB" w:rsidRPr="00CE4424">
        <w:rPr>
          <w:rFonts w:ascii="Times New Roman" w:hAnsi="Times New Roman"/>
          <w:sz w:val="22"/>
          <w:szCs w:val="22"/>
        </w:rPr>
        <w:t>Forum of the International Respiratory Societies -</w:t>
      </w:r>
      <w:r w:rsidRPr="00CE4424">
        <w:rPr>
          <w:rFonts w:ascii="Times New Roman" w:hAnsi="Times New Roman"/>
          <w:sz w:val="22"/>
          <w:szCs w:val="22"/>
        </w:rPr>
        <w:t>FIRS) a emis o declarație de poziție, menționând că efectele negative asupra sănătății nu pot fi excluse (Bals</w:t>
      </w:r>
      <w:r w:rsidR="00260841" w:rsidRPr="00CE4424">
        <w:rPr>
          <w:rFonts w:ascii="Times New Roman" w:hAnsi="Times New Roman"/>
          <w:sz w:val="22"/>
          <w:szCs w:val="22"/>
        </w:rPr>
        <w:t xml:space="preserve"> et al., 2019). </w:t>
      </w:r>
      <w:r w:rsidRPr="00CE4424">
        <w:rPr>
          <w:rFonts w:ascii="Times New Roman" w:hAnsi="Times New Roman"/>
          <w:sz w:val="22"/>
          <w:szCs w:val="22"/>
        </w:rPr>
        <w:t>O</w:t>
      </w:r>
      <w:r w:rsidR="00AE320A" w:rsidRPr="00CE4424">
        <w:rPr>
          <w:rFonts w:ascii="Times New Roman" w:hAnsi="Times New Roman"/>
          <w:sz w:val="22"/>
          <w:szCs w:val="22"/>
        </w:rPr>
        <w:t xml:space="preserve">MS </w:t>
      </w:r>
      <w:r w:rsidR="00260841" w:rsidRPr="00CE4424">
        <w:rPr>
          <w:rFonts w:ascii="Times New Roman" w:hAnsi="Times New Roman"/>
          <w:sz w:val="22"/>
          <w:szCs w:val="22"/>
        </w:rPr>
        <w:t xml:space="preserve">a declarat că, desi este devreme pentru </w:t>
      </w:r>
      <w:r w:rsidRPr="00CE4424">
        <w:rPr>
          <w:rFonts w:ascii="Times New Roman" w:hAnsi="Times New Roman"/>
          <w:sz w:val="22"/>
          <w:szCs w:val="22"/>
        </w:rPr>
        <w:t>un răspuns clar cu privire la impactul pe termen lung al utilizării țigări</w:t>
      </w:r>
      <w:r w:rsidR="00260841" w:rsidRPr="00CE4424">
        <w:rPr>
          <w:rFonts w:ascii="Times New Roman" w:hAnsi="Times New Roman"/>
          <w:sz w:val="22"/>
          <w:szCs w:val="22"/>
        </w:rPr>
        <w:t>lor electronice</w:t>
      </w:r>
      <w:r w:rsidR="00AE320A" w:rsidRPr="00CE4424">
        <w:rPr>
          <w:rFonts w:ascii="Times New Roman" w:hAnsi="Times New Roman"/>
          <w:sz w:val="22"/>
          <w:szCs w:val="22"/>
        </w:rPr>
        <w:t xml:space="preserve"> asupra sănătății</w:t>
      </w:r>
      <w:r w:rsidR="00260841" w:rsidRPr="00CE4424">
        <w:rPr>
          <w:rFonts w:ascii="Times New Roman" w:hAnsi="Times New Roman"/>
          <w:sz w:val="22"/>
          <w:szCs w:val="22"/>
        </w:rPr>
        <w:t xml:space="preserve">, acestea </w:t>
      </w:r>
      <w:r w:rsidR="00AE320A" w:rsidRPr="00CE4424">
        <w:rPr>
          <w:rFonts w:ascii="Times New Roman" w:hAnsi="Times New Roman"/>
          <w:sz w:val="22"/>
          <w:szCs w:val="22"/>
        </w:rPr>
        <w:t xml:space="preserve">sunt dăunătoare </w:t>
      </w:r>
      <w:r w:rsidRPr="00CE4424">
        <w:rPr>
          <w:rFonts w:ascii="Times New Roman" w:hAnsi="Times New Roman"/>
          <w:sz w:val="22"/>
          <w:szCs w:val="22"/>
        </w:rPr>
        <w:t>și nesigure (OMS, 2019b, 2020).</w:t>
      </w:r>
      <w:sdt>
        <w:sdtPr>
          <w:rPr>
            <w:rFonts w:ascii="Times New Roman" w:hAnsi="Times New Roman"/>
            <w:sz w:val="22"/>
            <w:szCs w:val="22"/>
          </w:rPr>
          <w:id w:val="1723243164"/>
          <w:citation/>
        </w:sdtPr>
        <w:sdtContent>
          <w:r w:rsidR="002030FB" w:rsidRPr="00CE4424">
            <w:rPr>
              <w:rFonts w:ascii="Times New Roman" w:hAnsi="Times New Roman"/>
              <w:sz w:val="22"/>
              <w:szCs w:val="22"/>
            </w:rPr>
            <w:fldChar w:fldCharType="begin"/>
          </w:r>
          <w:r w:rsidR="002030FB" w:rsidRPr="00CE4424">
            <w:rPr>
              <w:rFonts w:ascii="Times New Roman" w:hAnsi="Times New Roman"/>
              <w:sz w:val="22"/>
              <w:szCs w:val="22"/>
            </w:rPr>
            <w:instrText xml:space="preserve"> CITATION ESP20 \l 1048 </w:instrText>
          </w:r>
          <w:r w:rsidR="002030FB" w:rsidRPr="00CE4424">
            <w:rPr>
              <w:rFonts w:ascii="Times New Roman" w:hAnsi="Times New Roman"/>
              <w:sz w:val="22"/>
              <w:szCs w:val="22"/>
            </w:rPr>
            <w:fldChar w:fldCharType="separate"/>
          </w:r>
          <w:r w:rsidR="00CE4424">
            <w:rPr>
              <w:rFonts w:ascii="Times New Roman" w:hAnsi="Times New Roman"/>
              <w:noProof/>
              <w:sz w:val="22"/>
              <w:szCs w:val="22"/>
            </w:rPr>
            <w:t xml:space="preserve"> </w:t>
          </w:r>
          <w:r w:rsidR="00CE4424" w:rsidRPr="00CE4424">
            <w:rPr>
              <w:rFonts w:ascii="Times New Roman" w:hAnsi="Times New Roman"/>
              <w:noProof/>
              <w:sz w:val="22"/>
              <w:szCs w:val="22"/>
            </w:rPr>
            <w:t>(ESPAD Group, 2020)</w:t>
          </w:r>
          <w:r w:rsidR="002030FB" w:rsidRPr="00CE4424">
            <w:rPr>
              <w:rFonts w:ascii="Times New Roman" w:hAnsi="Times New Roman"/>
              <w:sz w:val="22"/>
              <w:szCs w:val="22"/>
            </w:rPr>
            <w:fldChar w:fldCharType="end"/>
          </w:r>
        </w:sdtContent>
      </w:sdt>
    </w:p>
    <w:p w14:paraId="4E55465A" w14:textId="6C63F49B" w:rsidR="00441D6D" w:rsidRPr="002030FB" w:rsidRDefault="002030FB" w:rsidP="00B760B8">
      <w:pPr>
        <w:autoSpaceDE w:val="0"/>
        <w:autoSpaceDN w:val="0"/>
        <w:adjustRightInd w:val="0"/>
        <w:spacing w:after="0"/>
        <w:rPr>
          <w:rFonts w:eastAsia="LucidaSansUnicode"/>
          <w:b/>
          <w:bCs/>
          <w:color w:val="000000"/>
        </w:rPr>
      </w:pPr>
      <w:r w:rsidRPr="002030FB">
        <w:rPr>
          <w:rFonts w:eastAsia="LucidaSansUnicode"/>
          <w:b/>
          <w:bCs/>
          <w:color w:val="000000"/>
        </w:rPr>
        <w:t>Accesul adolescenților la produse de tutun</w:t>
      </w:r>
    </w:p>
    <w:p w14:paraId="28C6D3C3" w14:textId="3CE85E77" w:rsidR="001C1E36" w:rsidRPr="002030FB" w:rsidRDefault="00825EE9" w:rsidP="001C1E36">
      <w:pPr>
        <w:autoSpaceDE w:val="0"/>
        <w:autoSpaceDN w:val="0"/>
        <w:adjustRightInd w:val="0"/>
        <w:spacing w:after="0"/>
      </w:pPr>
      <w:r>
        <w:t>În cee</w:t>
      </w:r>
      <w:r w:rsidR="002030FB" w:rsidRPr="002030FB">
        <w:t>a</w:t>
      </w:r>
      <w:r>
        <w:t xml:space="preserve"> </w:t>
      </w:r>
      <w:r w:rsidR="002030FB" w:rsidRPr="002030FB">
        <w:t>ce pr</w:t>
      </w:r>
      <w:r w:rsidR="002030FB">
        <w:t>i</w:t>
      </w:r>
      <w:r w:rsidR="002030FB" w:rsidRPr="002030FB">
        <w:t>vește disponibilitatea percepută a produselor de tutun î</w:t>
      </w:r>
      <w:r w:rsidR="001C1E36" w:rsidRPr="002030FB">
        <w:t>n anul 2019, conform studiu</w:t>
      </w:r>
      <w:r w:rsidR="002030FB" w:rsidRPr="002030FB">
        <w:t>lui ESPAD</w:t>
      </w:r>
      <w:r w:rsidR="001C1E36" w:rsidRPr="002030FB">
        <w:t>, în medie, 60% dintre elevii din țările participante au raportat că le-ar fi “destul de ușor” sau “foarte ușor” să achizitioneze țigări dacă ar dori</w:t>
      </w:r>
      <w:r w:rsidR="002030FB" w:rsidRPr="002030FB">
        <w:t>, în timp ce 42% dintre elevii respondenți din România au declarant acest lucru</w:t>
      </w:r>
      <w:r w:rsidR="002030FB">
        <w:t>.</w:t>
      </w:r>
    </w:p>
    <w:p w14:paraId="3878B985" w14:textId="1AA5B600" w:rsidR="0037380E" w:rsidRPr="002030FB" w:rsidRDefault="001C1E36" w:rsidP="001C1E36">
      <w:pPr>
        <w:autoSpaceDE w:val="0"/>
        <w:autoSpaceDN w:val="0"/>
        <w:adjustRightInd w:val="0"/>
        <w:spacing w:after="0"/>
      </w:pPr>
      <w:r w:rsidRPr="002030FB">
        <w:t>Per ansamblu diferențele de gen au fost nesemnificative (61% pentru băieți față de 59% pentru fete), însă în țările unde au fost observate diferențe</w:t>
      </w:r>
      <w:r w:rsidR="002030FB" w:rsidRPr="002030FB">
        <w:t>.</w:t>
      </w:r>
    </w:p>
    <w:p w14:paraId="0A720075" w14:textId="77777777" w:rsidR="0037380E" w:rsidRDefault="0037380E" w:rsidP="00FD2181">
      <w:pPr>
        <w:autoSpaceDE w:val="0"/>
        <w:autoSpaceDN w:val="0"/>
        <w:adjustRightInd w:val="0"/>
        <w:spacing w:after="0"/>
        <w:rPr>
          <w:bCs/>
        </w:rPr>
      </w:pPr>
    </w:p>
    <w:p w14:paraId="1AB4D5DA" w14:textId="77777777" w:rsidR="0042749B" w:rsidRPr="00470695" w:rsidRDefault="001C5540" w:rsidP="00470695">
      <w:pPr>
        <w:pStyle w:val="Heading3"/>
      </w:pPr>
      <w:bookmarkStart w:id="18" w:name="_Toc132812363"/>
      <w:r w:rsidRPr="00470695">
        <w:t>Date cu rezultate relevante din studiile naționale, europene</w:t>
      </w:r>
      <w:bookmarkEnd w:id="18"/>
    </w:p>
    <w:p w14:paraId="267CDACC" w14:textId="77777777" w:rsidR="00BC1E49" w:rsidRPr="00470695" w:rsidRDefault="001C5540" w:rsidP="00BC1E49">
      <w:pPr>
        <w:autoSpaceDE w:val="0"/>
        <w:autoSpaceDN w:val="0"/>
        <w:adjustRightInd w:val="0"/>
        <w:spacing w:before="100" w:beforeAutospacing="1" w:after="100" w:afterAutospacing="1"/>
        <w:contextualSpacing/>
        <w:rPr>
          <w:b/>
          <w:bCs/>
          <w:lang w:val="ro-RO"/>
        </w:rPr>
      </w:pPr>
      <w:r w:rsidRPr="00470695">
        <w:rPr>
          <w:b/>
          <w:bCs/>
        </w:rPr>
        <w:t xml:space="preserve">Tarasenko Y, Ciobanu A, Fayokun R et allː </w:t>
      </w:r>
      <w:r w:rsidRPr="00470695">
        <w:rPr>
          <w:b/>
          <w:bCs/>
          <w:lang w:val="ro-RO"/>
        </w:rPr>
        <w:t>Consumul de țigări electronice în rândul adolescenților din 17 studii europene: constatări ale sondajului global asupra tutunului la tineri</w:t>
      </w:r>
    </w:p>
    <w:p w14:paraId="1EE28C58" w14:textId="77777777" w:rsidR="00BC1E49" w:rsidRPr="000600FC" w:rsidRDefault="00BC1E49" w:rsidP="000600FC">
      <w:pPr>
        <w:autoSpaceDE w:val="0"/>
        <w:autoSpaceDN w:val="0"/>
        <w:adjustRightInd w:val="0"/>
        <w:spacing w:before="100" w:beforeAutospacing="1" w:after="100" w:afterAutospacing="1"/>
        <w:contextualSpacing/>
        <w:rPr>
          <w:b/>
          <w:lang w:val="ro-RO"/>
        </w:rPr>
      </w:pPr>
      <w:r w:rsidRPr="000600FC">
        <w:rPr>
          <w:b/>
          <w:lang w:val="ro-RO"/>
        </w:rPr>
        <w:t xml:space="preserve">Background </w:t>
      </w:r>
    </w:p>
    <w:p w14:paraId="742EC357" w14:textId="77777777" w:rsidR="001C5540" w:rsidRPr="000600FC" w:rsidRDefault="00BC1E49" w:rsidP="000600FC">
      <w:pPr>
        <w:autoSpaceDE w:val="0"/>
        <w:autoSpaceDN w:val="0"/>
        <w:adjustRightInd w:val="0"/>
        <w:spacing w:before="100" w:beforeAutospacing="1" w:after="100" w:afterAutospacing="1"/>
        <w:contextualSpacing/>
        <w:rPr>
          <w:lang w:val="ro-RO"/>
        </w:rPr>
      </w:pPr>
      <w:r w:rsidRPr="000600FC">
        <w:rPr>
          <w:lang w:val="ro-RO"/>
        </w:rPr>
        <w:t xml:space="preserve">Pe măsură ce apar noi constatări privind implicațiile asupra sănătății publice ale utilizării țigărilor electronice, supravegherea acesteia rămâne de cea mai mare importanță. Acest studiu a examinat cea mai recentă stare a consumului de țigări electronice în rândul tinerilor în 17 site-uri europene de studiu (adică 16 țări și Federația Bosniei și Herțegovinei) utilizând sondajul global privind tutunul în tineret (GYTS). </w:t>
      </w:r>
    </w:p>
    <w:p w14:paraId="4108C35C" w14:textId="77777777" w:rsidR="00BC1E49" w:rsidRPr="000600FC" w:rsidRDefault="00BC1E49" w:rsidP="000600FC">
      <w:pPr>
        <w:autoSpaceDE w:val="0"/>
        <w:autoSpaceDN w:val="0"/>
        <w:adjustRightInd w:val="0"/>
        <w:spacing w:before="100" w:beforeAutospacing="1" w:after="100" w:afterAutospacing="1"/>
        <w:contextualSpacing/>
        <w:rPr>
          <w:lang w:val="ro-RO"/>
        </w:rPr>
      </w:pPr>
      <w:r w:rsidRPr="000600FC">
        <w:rPr>
          <w:b/>
          <w:lang w:val="ro-RO"/>
        </w:rPr>
        <w:t>Metode</w:t>
      </w:r>
      <w:r w:rsidRPr="000600FC">
        <w:rPr>
          <w:lang w:val="ro-RO"/>
        </w:rPr>
        <w:t>ː Acesta a fost un studiu observațional. Datele transversale privind studenții cu vârsta cuprinsă între 11 și 17 ani din cea mai recentă rundă GYTS disponibilă, finalizată în 17 site-uri de studiu, au fost utilizate pentru a estima prevalența brută și ajustată a utilizării țigărilor electronice în funcție de sex și bani de buzunar. Pentru analizele de tendințe au fost utilizate datele GYTS din panel din cinci țări. Toate analizele au fost ponderate pentru a ține seama de designul sondajului și de non-răspuns.</w:t>
      </w:r>
    </w:p>
    <w:p w14:paraId="083B89DA" w14:textId="77777777" w:rsidR="000600FC" w:rsidRPr="000600FC" w:rsidRDefault="000600FC" w:rsidP="000600FC">
      <w:pPr>
        <w:autoSpaceDE w:val="0"/>
        <w:autoSpaceDN w:val="0"/>
        <w:adjustRightInd w:val="0"/>
        <w:spacing w:before="100" w:beforeAutospacing="1" w:after="100" w:afterAutospacing="1"/>
        <w:contextualSpacing/>
        <w:rPr>
          <w:lang w:val="ro-RO"/>
        </w:rPr>
      </w:pPr>
      <w:r w:rsidRPr="000600FC">
        <w:rPr>
          <w:b/>
          <w:lang w:val="ro-RO"/>
        </w:rPr>
        <w:t>Rezultate</w:t>
      </w:r>
      <w:r>
        <w:rPr>
          <w:b/>
          <w:lang w:val="ro-RO"/>
        </w:rPr>
        <w:t xml:space="preserve">ː </w:t>
      </w:r>
      <w:r w:rsidRPr="000600FC">
        <w:rPr>
          <w:lang w:val="ro-RO"/>
        </w:rPr>
        <w:t>Comparativ cu 2014, prevalența ajustată în funcție de vârstă a consumului de țigări electronice sa dublat în Georgia și Italia și aproape sa dublat în Letonia.</w:t>
      </w:r>
      <w:r>
        <w:rPr>
          <w:lang w:val="ro-RO"/>
        </w:rPr>
        <w:t xml:space="preserve"> </w:t>
      </w:r>
      <w:r w:rsidR="00B93D64" w:rsidRPr="00B93D64">
        <w:rPr>
          <w:lang w:val="ro-RO"/>
        </w:rPr>
        <w:t>Semnificativ mai mulți bărbați decât femeile cu vârsta cuprinsă între 11 și 17 ani au raportat că folosesc țigări electronice, fără nicio confuzie în funcție de vârstă, clasă și bani de buzunar în toate țările</w:t>
      </w:r>
      <w:r w:rsidR="00B93D64">
        <w:rPr>
          <w:lang w:val="ro-RO"/>
        </w:rPr>
        <w:t xml:space="preserve">. </w:t>
      </w:r>
      <w:r w:rsidR="00B93D64" w:rsidRPr="00B93D64">
        <w:rPr>
          <w:lang w:val="ro-RO"/>
        </w:rPr>
        <w:t>Tinerii cu sume medii sau mai mari de bani de buzunar au avut cu 20–200% mai multe șanse de a folosi țigări electronice decât cei cu mai puțini sau deloc bani de buzunar în 14 site-uri de studiu.</w:t>
      </w:r>
      <w:r w:rsidR="00B93D64">
        <w:rPr>
          <w:lang w:val="ro-RO"/>
        </w:rPr>
        <w:t xml:space="preserve"> </w:t>
      </w:r>
    </w:p>
    <w:p w14:paraId="0E15212A" w14:textId="77777777" w:rsidR="00B93D64" w:rsidRPr="000600FC" w:rsidRDefault="000600FC" w:rsidP="00B93D64">
      <w:pPr>
        <w:autoSpaceDE w:val="0"/>
        <w:autoSpaceDN w:val="0"/>
        <w:adjustRightInd w:val="0"/>
        <w:spacing w:before="100" w:beforeAutospacing="1" w:after="100" w:afterAutospacing="1"/>
        <w:contextualSpacing/>
        <w:rPr>
          <w:lang w:val="ro-RO"/>
        </w:rPr>
      </w:pPr>
      <w:r w:rsidRPr="000600FC">
        <w:rPr>
          <w:b/>
          <w:lang w:val="ro-RO"/>
        </w:rPr>
        <w:t>Discutii</w:t>
      </w:r>
      <w:r>
        <w:rPr>
          <w:b/>
          <w:lang w:val="ro-RO"/>
        </w:rPr>
        <w:t>ː</w:t>
      </w:r>
      <w:r w:rsidR="00B93D64">
        <w:rPr>
          <w:b/>
          <w:lang w:val="ro-RO"/>
        </w:rPr>
        <w:t xml:space="preserve"> </w:t>
      </w:r>
      <w:r w:rsidR="00B93D64" w:rsidRPr="00B93D64">
        <w:rPr>
          <w:lang w:val="ro-RO"/>
        </w:rPr>
        <w:t>Pe măsură ce utilizarea țigărilor electronice devine răspândită în întreaga lume, există variații în utilizare între și între țări.</w:t>
      </w:r>
    </w:p>
    <w:p w14:paraId="5BA5F104" w14:textId="77777777" w:rsidR="000600FC" w:rsidRPr="00B93D64" w:rsidRDefault="00B93D64" w:rsidP="000600FC">
      <w:pPr>
        <w:autoSpaceDE w:val="0"/>
        <w:autoSpaceDN w:val="0"/>
        <w:adjustRightInd w:val="0"/>
        <w:spacing w:before="100" w:beforeAutospacing="1" w:after="100" w:afterAutospacing="1"/>
        <w:contextualSpacing/>
        <w:rPr>
          <w:lang w:val="ro-RO"/>
        </w:rPr>
      </w:pPr>
      <w:r w:rsidRPr="00B93D64">
        <w:rPr>
          <w:lang w:val="ro-RO"/>
        </w:rPr>
        <w:t xml:space="preserve">Supravegherea extinsă și consecventă a utilizării țigărilor electronice de către toate statele membre ale Organizației Mondiale a Sănătății este esențială pentru a genera date privind amploarea și corelațiile utilizării țigărilor electronice de către tineri, pentru planificarea și evaluarea bazate pe dovezi a sistemelor </w:t>
      </w:r>
      <w:r w:rsidRPr="00B93D64">
        <w:rPr>
          <w:lang w:val="ro-RO"/>
        </w:rPr>
        <w:lastRenderedPageBreak/>
        <w:t>electronice de livrare a nicotinei și a sistemelor electronice non-nicotinice. sisteme de livrare programe de control naționale și globale.</w:t>
      </w:r>
    </w:p>
    <w:p w14:paraId="39EFD91E" w14:textId="5C9BC062" w:rsidR="008A2229" w:rsidRDefault="00570D51" w:rsidP="000600FC">
      <w:pPr>
        <w:autoSpaceDE w:val="0"/>
        <w:autoSpaceDN w:val="0"/>
        <w:adjustRightInd w:val="0"/>
        <w:spacing w:before="100" w:beforeAutospacing="1" w:after="100" w:afterAutospacing="1"/>
        <w:contextualSpacing/>
        <w:rPr>
          <w:rStyle w:val="Hyperlink"/>
          <w:lang w:val="ro-RO"/>
        </w:rPr>
      </w:pPr>
      <w:hyperlink r:id="rId30" w:history="1">
        <w:r w:rsidR="008A2229" w:rsidRPr="00D75C9D">
          <w:rPr>
            <w:rStyle w:val="Hyperlink"/>
            <w:lang w:val="ro-RO"/>
          </w:rPr>
          <w:t>https://pubmed.ncbi.nlm.nih.gov/34694383/</w:t>
        </w:r>
      </w:hyperlink>
    </w:p>
    <w:p w14:paraId="5E30616B" w14:textId="77777777" w:rsidR="00470695" w:rsidRDefault="00470695" w:rsidP="000600FC">
      <w:pPr>
        <w:autoSpaceDE w:val="0"/>
        <w:autoSpaceDN w:val="0"/>
        <w:adjustRightInd w:val="0"/>
        <w:spacing w:before="100" w:beforeAutospacing="1" w:after="100" w:afterAutospacing="1"/>
        <w:contextualSpacing/>
        <w:rPr>
          <w:lang w:val="ro-RO"/>
        </w:rPr>
      </w:pPr>
    </w:p>
    <w:p w14:paraId="41693947" w14:textId="77777777" w:rsidR="008A2229" w:rsidRDefault="008A2229" w:rsidP="000600FC">
      <w:pPr>
        <w:autoSpaceDE w:val="0"/>
        <w:autoSpaceDN w:val="0"/>
        <w:adjustRightInd w:val="0"/>
        <w:spacing w:before="100" w:beforeAutospacing="1" w:after="100" w:afterAutospacing="1"/>
        <w:contextualSpacing/>
        <w:rPr>
          <w:lang w:val="ro-RO"/>
        </w:rPr>
      </w:pPr>
      <w:r>
        <w:rPr>
          <w:lang w:val="ro-RO"/>
        </w:rPr>
        <w:t>-------------------------</w:t>
      </w:r>
    </w:p>
    <w:p w14:paraId="393C6281" w14:textId="77777777" w:rsidR="00470695" w:rsidRDefault="00470695" w:rsidP="0035395A">
      <w:pPr>
        <w:autoSpaceDE w:val="0"/>
        <w:autoSpaceDN w:val="0"/>
        <w:adjustRightInd w:val="0"/>
        <w:spacing w:after="0"/>
      </w:pPr>
    </w:p>
    <w:p w14:paraId="7CC7296A" w14:textId="618EAAD4" w:rsidR="008A2229" w:rsidRPr="00470695" w:rsidRDefault="0035395A" w:rsidP="0035395A">
      <w:pPr>
        <w:autoSpaceDE w:val="0"/>
        <w:autoSpaceDN w:val="0"/>
        <w:adjustRightInd w:val="0"/>
        <w:spacing w:after="0"/>
        <w:rPr>
          <w:b/>
          <w:bCs/>
        </w:rPr>
      </w:pPr>
      <w:r w:rsidRPr="00470695">
        <w:rPr>
          <w:b/>
          <w:bCs/>
        </w:rPr>
        <w:t>Polanska K, Znyk M, and Kaleta D</w:t>
      </w:r>
      <w:r w:rsidRPr="00470695">
        <w:rPr>
          <w:b/>
          <w:bCs/>
          <w:lang w:val="ro-RO"/>
        </w:rPr>
        <w:t>ː</w:t>
      </w:r>
      <w:r w:rsidRPr="00470695">
        <w:rPr>
          <w:b/>
          <w:bCs/>
        </w:rPr>
        <w:t xml:space="preserve"> Susceptibilitatea la consumul de tutun și factorii asociați în rândul tinerilor din cinci țări din Europa Centrală și de Est</w:t>
      </w:r>
    </w:p>
    <w:p w14:paraId="7F8CB26D" w14:textId="77777777" w:rsidR="0035395A" w:rsidRDefault="0035395A" w:rsidP="00330DC0">
      <w:pPr>
        <w:spacing w:before="100" w:beforeAutospacing="1" w:after="100" w:afterAutospacing="1"/>
        <w:contextualSpacing/>
      </w:pPr>
      <w:r w:rsidRPr="004C364B">
        <w:rPr>
          <w:b/>
        </w:rPr>
        <w:t>Background</w:t>
      </w:r>
      <w:r w:rsidRPr="0035395A">
        <w:t>:</w:t>
      </w:r>
      <w:r>
        <w:t xml:space="preserve"> </w:t>
      </w:r>
      <w:r w:rsidRPr="0035395A">
        <w:t>Consumul de tutun în rândul tinerilor rămâne încă o problemă majoră de sănătate publică</w:t>
      </w:r>
      <w:r>
        <w:t xml:space="preserve">. </w:t>
      </w:r>
      <w:r w:rsidR="00A328DE">
        <w:t>S</w:t>
      </w:r>
      <w:r w:rsidR="0019696C" w:rsidRPr="0019696C">
        <w:t>copul acestui studiu a fost de a efectua o comparație între țări pentru fac</w:t>
      </w:r>
      <w:r w:rsidR="00E24FAE">
        <w:t xml:space="preserve">torii asociați cu predispoziție </w:t>
      </w:r>
      <w:r w:rsidR="0019696C" w:rsidRPr="0019696C">
        <w:t>la consumul de tutun în rândul tinerilor din cinci țări din Europa Centrală și de Est.</w:t>
      </w:r>
    </w:p>
    <w:p w14:paraId="53A60797" w14:textId="77777777" w:rsidR="005B752E" w:rsidRDefault="0019696C" w:rsidP="00330DC0">
      <w:pPr>
        <w:spacing w:before="100" w:beforeAutospacing="1" w:after="100" w:afterAutospacing="1"/>
        <w:contextualSpacing/>
      </w:pPr>
      <w:r w:rsidRPr="005B752E">
        <w:rPr>
          <w:b/>
        </w:rPr>
        <w:t>Metode</w:t>
      </w:r>
      <w:r w:rsidRPr="0035395A">
        <w:t>:</w:t>
      </w:r>
      <w:r>
        <w:t xml:space="preserve"> </w:t>
      </w:r>
      <w:r w:rsidRPr="0019696C">
        <w:t>Dat</w:t>
      </w:r>
      <w:r w:rsidR="00E24FAE">
        <w:t xml:space="preserve">ele utilizate în analiză s-au concentrate </w:t>
      </w:r>
      <w:r w:rsidRPr="0019696C">
        <w:t>pe tinerii (cu vârste cuprinse între 11 și</w:t>
      </w:r>
      <w:r w:rsidR="00E24FAE">
        <w:t xml:space="preserve"> 17 ani), care nu au încer</w:t>
      </w:r>
      <w:r w:rsidR="005B752E">
        <w:t xml:space="preserve">cat niciodată să fumeze. Acestea au fost disponibile din </w:t>
      </w:r>
      <w:r w:rsidRPr="0019696C">
        <w:t>Global Youth Tobacco Survey (Republica Cehă (2016), n = 1997; Slovacia. (2016), n = 1998; Slovenia (2017), n = 1765; România (2017), n = 3718; Lituania (201</w:t>
      </w:r>
      <w:r w:rsidR="005B752E">
        <w:t>8), n = 1305). Au fost studiate</w:t>
      </w:r>
      <w:r w:rsidRPr="0019696C">
        <w:t xml:space="preserve"> analize </w:t>
      </w:r>
      <w:r w:rsidR="005B752E">
        <w:t xml:space="preserve">și meta-analize simple, </w:t>
      </w:r>
      <w:r w:rsidRPr="0019696C">
        <w:t>cu efecte aleatoare pentru a identifica factor</w:t>
      </w:r>
      <w:r w:rsidR="005B752E">
        <w:t xml:space="preserve">ii asociați cu predispoziția </w:t>
      </w:r>
      <w:r w:rsidRPr="0019696C">
        <w:t xml:space="preserve">la consumul de tutun </w:t>
      </w:r>
    </w:p>
    <w:p w14:paraId="237E1FC6" w14:textId="77777777" w:rsidR="0019696C" w:rsidRDefault="0019696C" w:rsidP="00330DC0">
      <w:pPr>
        <w:spacing w:before="100" w:beforeAutospacing="1" w:after="100" w:afterAutospacing="1"/>
        <w:contextualSpacing/>
      </w:pPr>
      <w:r w:rsidRPr="004C364B">
        <w:rPr>
          <w:b/>
        </w:rPr>
        <w:t>Rezultate</w:t>
      </w:r>
      <w:r w:rsidRPr="0035395A">
        <w:t>:</w:t>
      </w:r>
      <w:r>
        <w:t xml:space="preserve"> </w:t>
      </w:r>
      <w:r w:rsidRPr="0019696C">
        <w:t>Aproape un sfert dintre elevi au fost susceptibili la consumul de tutun în 4 din 5 țări</w:t>
      </w:r>
      <w:r>
        <w:t xml:space="preserve">. </w:t>
      </w:r>
      <w:r w:rsidRPr="0019696C">
        <w:t xml:space="preserve">Următorii factori au fost identificați, în mod constant în toate țările, ca </w:t>
      </w:r>
      <w:r w:rsidR="005B752E">
        <w:t>fiind corelați cu predispoziția</w:t>
      </w:r>
      <w:r w:rsidRPr="0019696C">
        <w:t xml:space="preserve"> la consumul de tutun: expunerea la fumatul pasiv în locuri publice (AOR de la 1,3; p = 0,05 în Slovacia la 1,6; p &lt; 0,01 în Cehia și</w:t>
      </w:r>
      <w:r w:rsidR="005B752E">
        <w:t xml:space="preserve"> România), consumul de tutun în rândul colegilor </w:t>
      </w:r>
      <w:r w:rsidRPr="0019696C">
        <w:t>(AOR de la 1,8 p &lt; 0,01 în Slovacia la 2,5; p &lt; 0,01 Lituania), opinia că fumatul i-a ajutat pe oameni să se simtă mai confortabil la sărbători (AOR de la 1,3; p = 0,01 în Cehia la 1,9; p &lt; 0,01 în Lituania), observând persoanele care consumă tutun în mass-media (AOR 1,5; p &lt; 0,01 în Slovenia și 1,6; p &lt; 0,01 în Lituania), lipsa cunoștințelor cu privire la efectele nocive ale fumatului pasiv (AOR 1,8; p &lt; 0,01 în Slovacia și 2,4; p &lt; 0,01 în Slovenia), lipsa educației antifumat oferite de școală (AOR 1,3; p &lt; 0,05 în Cehia, Slovacia și Slovenia; 1,9; p &lt; 0,01 în Lituania) și familie (AOR 1,5; p &lt; 0,01 în Slovenia și România).</w:t>
      </w:r>
    </w:p>
    <w:p w14:paraId="3895A255" w14:textId="77777777" w:rsidR="004C364B" w:rsidRDefault="004C364B" w:rsidP="00330DC0">
      <w:pPr>
        <w:spacing w:before="100" w:beforeAutospacing="1" w:after="100" w:afterAutospacing="1"/>
        <w:contextualSpacing/>
      </w:pPr>
      <w:r w:rsidRPr="004C364B">
        <w:t xml:space="preserve">Mai mult, cei care credeau că fumatul îi face pe tineri să pară mai puțin atractivi (AOR de la 0,5; p &lt; 0,01 în România la 0,7; p = </w:t>
      </w:r>
      <w:r w:rsidR="0037380E">
        <w:t xml:space="preserve">0,05 în Lituania) și că persoanele </w:t>
      </w:r>
      <w:r w:rsidRPr="004C364B">
        <w:t>care fumează au mai puțini prieteni (AOR 0,7; p ≤ 0,0</w:t>
      </w:r>
      <w:r w:rsidR="0037380E">
        <w:t>6) să fie mai puțin susceptibili</w:t>
      </w:r>
      <w:r w:rsidRPr="004C364B">
        <w:t xml:space="preserve"> la inițierea consumului de tutun. În Republica Cehă și Slovenia a fost observată o susceptibilitate semnificativ mai mare la consumul de tutun în rândul femeilor în comparație cu bărbații (AOR 1,4; p &lt; 0,01), în timp ce în România a fost observat un model opus, deși nu este semnificativ (p = 0,3). Având mai mulți bani disponibili pentru propriile cheltuieli, corelat pozitiv cu adecvarea pentru fumat în toate țările (AOR &gt; 1,5; p &lt; 0,01), cu excepția Lituaniei, unde tinerii cu mai mulți bani disponibili tind să fie mai puțin sensibili la consumul de tutun (p &gt; 0,05). Tinerii care împărtășesc părerea că oamenii care fumează au mai mulți prieteni au fost mai susceptibili la fumat în România (AOR 1,4; p = 0,04), dar tind să fie mai puțin sensibili în alte țări. Expunerea la reclame la punctele de vânzare a fost o corelație semnificativă cu susceptibilitatea la consumul de tutun în Slovacia și Slovenia (AOR 1,4 și, respectiv, 1,5; p &lt; 0,05), cu eterogenitate moderată între țări.</w:t>
      </w:r>
    </w:p>
    <w:p w14:paraId="5F816195" w14:textId="77777777" w:rsidR="0035395A" w:rsidRDefault="0035395A" w:rsidP="0035395A">
      <w:pPr>
        <w:spacing w:before="100" w:beforeAutospacing="1" w:after="100" w:afterAutospacing="1"/>
        <w:contextualSpacing/>
      </w:pPr>
    </w:p>
    <w:p w14:paraId="01896EA5" w14:textId="77777777" w:rsidR="0035395A" w:rsidRPr="0035395A" w:rsidRDefault="00570D51" w:rsidP="0035395A">
      <w:pPr>
        <w:spacing w:before="100" w:beforeAutospacing="1" w:after="100" w:afterAutospacing="1"/>
        <w:contextualSpacing/>
      </w:pPr>
      <w:hyperlink r:id="rId31" w:history="1">
        <w:r w:rsidR="0035395A" w:rsidRPr="0035395A">
          <w:rPr>
            <w:color w:val="0563C1"/>
            <w:u w:val="single"/>
          </w:rPr>
          <w:t>https://bmcpublichealth.biomedcentral.com/articles/10.1186/s12889-022-12493-6</w:t>
        </w:r>
      </w:hyperlink>
    </w:p>
    <w:p w14:paraId="1066576F" w14:textId="77777777" w:rsidR="0035395A" w:rsidRDefault="0035395A" w:rsidP="0035395A">
      <w:pPr>
        <w:spacing w:before="100" w:beforeAutospacing="1" w:after="100" w:afterAutospacing="1"/>
        <w:contextualSpacing/>
      </w:pPr>
    </w:p>
    <w:p w14:paraId="4134E63D" w14:textId="77777777" w:rsidR="0035395A" w:rsidRDefault="004C364B" w:rsidP="0035395A">
      <w:pPr>
        <w:spacing w:before="100" w:beforeAutospacing="1" w:after="100" w:afterAutospacing="1"/>
        <w:contextualSpacing/>
      </w:pPr>
      <w:r>
        <w:t>--------------------------</w:t>
      </w:r>
    </w:p>
    <w:p w14:paraId="1A96369F" w14:textId="77777777" w:rsidR="00470695" w:rsidRPr="00B37A09" w:rsidRDefault="00470695" w:rsidP="00470695">
      <w:pPr>
        <w:spacing w:before="100" w:beforeAutospacing="1" w:after="100" w:afterAutospacing="1"/>
        <w:contextualSpacing/>
        <w:rPr>
          <w:b/>
          <w:bCs/>
        </w:rPr>
      </w:pPr>
      <w:r w:rsidRPr="00B37A09">
        <w:rPr>
          <w:b/>
          <w:bCs/>
        </w:rPr>
        <w:t xml:space="preserve">Reitsma MB, Flor LS, Mullany EC, Gupta V, Hay SI, Gakidou E. Spatial, temporal, and demographic patterns in prevalence of smoking tobacco use and initiation among young people in 204 countries and territories, 1990–2019. Lancet Public Health 2021; 6: e472–81. </w:t>
      </w:r>
    </w:p>
    <w:p w14:paraId="518A20C0" w14:textId="6D10DC31" w:rsidR="00470695" w:rsidRDefault="00470695" w:rsidP="00470695">
      <w:pPr>
        <w:spacing w:before="100" w:beforeAutospacing="1" w:after="100" w:afterAutospacing="1"/>
        <w:contextualSpacing/>
      </w:pPr>
      <w:r>
        <w:t>Anton E Kunst, Tobacco use in young people: being emic to end the epidemic, comment</w:t>
      </w:r>
    </w:p>
    <w:p w14:paraId="14A034C0" w14:textId="77777777" w:rsidR="00470695" w:rsidRPr="000C1672" w:rsidRDefault="00470695" w:rsidP="00470695">
      <w:pPr>
        <w:autoSpaceDE w:val="0"/>
        <w:autoSpaceDN w:val="0"/>
        <w:adjustRightInd w:val="0"/>
        <w:spacing w:before="100" w:beforeAutospacing="1" w:after="100" w:afterAutospacing="1"/>
        <w:contextualSpacing/>
        <w:rPr>
          <w:lang w:val="ro-RO"/>
        </w:rPr>
      </w:pPr>
    </w:p>
    <w:p w14:paraId="2C785AC9" w14:textId="77777777" w:rsidR="00D15DD8" w:rsidRPr="00D15DD8" w:rsidRDefault="003C074B" w:rsidP="00D15DD8">
      <w:r>
        <w:t xml:space="preserve">În articolul </w:t>
      </w:r>
      <w:r w:rsidR="000C1672" w:rsidRPr="000C1672">
        <w:t>din The Lancet Public Heal</w:t>
      </w:r>
      <w:r>
        <w:t xml:space="preserve">th, Marissa Reitsma și colegii au analizat consumul de tutun </w:t>
      </w:r>
      <w:r w:rsidR="000C1672" w:rsidRPr="000C1672">
        <w:t>la tineri</w:t>
      </w:r>
      <w:r>
        <w:t>. Ace</w:t>
      </w:r>
      <w:r>
        <w:rPr>
          <w:lang w:val="ro-RO"/>
        </w:rPr>
        <w:t xml:space="preserve">știa au </w:t>
      </w:r>
      <w:r w:rsidR="00470695">
        <w:rPr>
          <w:lang w:val="ro-RO"/>
        </w:rPr>
        <w:t xml:space="preserve">inclus în studiu </w:t>
      </w:r>
      <w:r w:rsidR="000C1672" w:rsidRPr="000C1672">
        <w:t xml:space="preserve">peste 3000 de sondaje privind </w:t>
      </w:r>
      <w:r>
        <w:t>consumul de tutun</w:t>
      </w:r>
      <w:r w:rsidR="000C1672" w:rsidRPr="000C1672">
        <w:t xml:space="preserve"> din 204 țări și teritorii din întreaga lume.</w:t>
      </w:r>
      <w:r w:rsidR="000C1672">
        <w:t xml:space="preserve"> </w:t>
      </w:r>
      <w:r>
        <w:t>Rezultatul a fost o imagine de ansamblu</w:t>
      </w:r>
      <w:r w:rsidR="000C1672" w:rsidRPr="000C1672">
        <w:t xml:space="preserve"> asupra unei epidemii</w:t>
      </w:r>
      <w:r>
        <w:t xml:space="preserve"> care provoacă milioane de </w:t>
      </w:r>
      <w:r>
        <w:lastRenderedPageBreak/>
        <w:t>decese</w:t>
      </w:r>
      <w:r w:rsidR="000C1672" w:rsidRPr="000C1672">
        <w:t xml:space="preserve"> în fiecare an</w:t>
      </w:r>
      <w:r w:rsidR="000C1672">
        <w:t xml:space="preserve">. </w:t>
      </w:r>
      <w:r>
        <w:t>Î</w:t>
      </w:r>
      <w:r w:rsidRPr="000C1672">
        <w:t>n anii următori</w:t>
      </w:r>
      <w:r>
        <w:t>,</w:t>
      </w:r>
      <w:r w:rsidR="00470695">
        <w:t xml:space="preserve"> aceast studio poate servi drept</w:t>
      </w:r>
      <w:r>
        <w:t xml:space="preserve"> o </w:t>
      </w:r>
      <w:r w:rsidRPr="003C074B">
        <w:t>cartografiere</w:t>
      </w:r>
      <w:r>
        <w:rPr>
          <w:color w:val="FF0000"/>
        </w:rPr>
        <w:t xml:space="preserve"> </w:t>
      </w:r>
      <w:r w:rsidR="000C1672" w:rsidRPr="000C1672">
        <w:t>a prevalenț</w:t>
      </w:r>
      <w:r>
        <w:t xml:space="preserve">ei </w:t>
      </w:r>
      <w:r w:rsidRPr="00D15DD8">
        <w:t xml:space="preserve">consumului de tutun </w:t>
      </w:r>
      <w:r w:rsidR="000C1672" w:rsidRPr="00D15DD8">
        <w:t>la tineri</w:t>
      </w:r>
      <w:r w:rsidRPr="00D15DD8">
        <w:t xml:space="preserve">i </w:t>
      </w:r>
      <w:r w:rsidR="000C1672" w:rsidRPr="00D15DD8">
        <w:t>c</w:t>
      </w:r>
      <w:r w:rsidRPr="00D15DD8">
        <w:t xml:space="preserve">u vârste între 15 și 24 de ani ar putea </w:t>
      </w:r>
      <w:r w:rsidR="000C1672" w:rsidRPr="00D15DD8">
        <w:t xml:space="preserve">fi o referință pentru </w:t>
      </w:r>
      <w:r w:rsidRPr="00D15DD8">
        <w:t xml:space="preserve">cercetare și </w:t>
      </w:r>
      <w:r w:rsidR="00DC43A3" w:rsidRPr="00D15DD8">
        <w:t xml:space="preserve">alte </w:t>
      </w:r>
      <w:r w:rsidR="000C1672" w:rsidRPr="00D15DD8">
        <w:t>politici. Mai mult, autorii au documentat două modele generale importante</w:t>
      </w:r>
      <w:r w:rsidR="00DC43A3" w:rsidRPr="00D15DD8">
        <w:t xml:space="preserve">: </w:t>
      </w:r>
    </w:p>
    <w:p w14:paraId="4CACA22B" w14:textId="7733E339" w:rsidR="00057F28" w:rsidRPr="00D15DD8" w:rsidRDefault="000C1672" w:rsidP="00400932">
      <w:pPr>
        <w:pStyle w:val="ListParagraph"/>
        <w:numPr>
          <w:ilvl w:val="0"/>
          <w:numId w:val="12"/>
        </w:numPr>
      </w:pPr>
      <w:r w:rsidRPr="00D15DD8">
        <w:t>În primul rând, m</w:t>
      </w:r>
      <w:r w:rsidR="00DC43A3" w:rsidRPr="00D15DD8">
        <w:t xml:space="preserve">ajoritatea adolescentilor </w:t>
      </w:r>
      <w:r w:rsidR="00D15DD8" w:rsidRPr="00D15DD8">
        <w:t xml:space="preserve">- </w:t>
      </w:r>
      <w:r w:rsidRPr="00D15DD8">
        <w:t>65,5%</w:t>
      </w:r>
      <w:r w:rsidR="00D15DD8" w:rsidRPr="00D15DD8">
        <w:t>-</w:t>
      </w:r>
      <w:r w:rsidRPr="00D15DD8">
        <w:t xml:space="preserve"> [</w:t>
      </w:r>
      <w:r w:rsidR="00D15DD8" w:rsidRPr="00D15DD8">
        <w:t xml:space="preserve">CI </w:t>
      </w:r>
      <w:r w:rsidRPr="00400932">
        <w:rPr>
          <w:vertAlign w:val="subscript"/>
        </w:rPr>
        <w:t>95%</w:t>
      </w:r>
      <w:r w:rsidR="00D15DD8" w:rsidRPr="00D15DD8">
        <w:t xml:space="preserve"> =</w:t>
      </w:r>
      <w:r w:rsidRPr="00D15DD8">
        <w:t xml:space="preserve"> 64,3–66,5]) au început să fumeze înainte</w:t>
      </w:r>
      <w:r w:rsidR="00DC43A3" w:rsidRPr="00D15DD8">
        <w:t>a vârstei</w:t>
      </w:r>
      <w:r w:rsidRPr="00D15DD8">
        <w:t xml:space="preserve"> de 20 de ani</w:t>
      </w:r>
      <w:r w:rsidR="008B0A55" w:rsidRPr="00D15DD8">
        <w:t>. Deși această inițiere timpurie a fumatului este bine cu</w:t>
      </w:r>
      <w:r w:rsidR="00DC43A3" w:rsidRPr="00D15DD8">
        <w:t>noscută, Reitsma și colegii au ar</w:t>
      </w:r>
      <w:r w:rsidR="00DC43A3" w:rsidRPr="00400932">
        <w:rPr>
          <w:lang w:val="ro-RO"/>
        </w:rPr>
        <w:t>ă</w:t>
      </w:r>
      <w:r w:rsidR="00DC43A3" w:rsidRPr="00D15DD8">
        <w:t>tat</w:t>
      </w:r>
      <w:r w:rsidR="008B0A55" w:rsidRPr="00D15DD8">
        <w:t xml:space="preserve"> că acest tipar </w:t>
      </w:r>
      <w:r w:rsidR="00DC43A3" w:rsidRPr="00D15DD8">
        <w:t>a persistat</w:t>
      </w:r>
      <w:r w:rsidR="008B0A55" w:rsidRPr="00D15DD8">
        <w:t xml:space="preserve"> în cea mai mare parte a lumii. </w:t>
      </w:r>
      <w:r w:rsidR="00DC43A3" w:rsidRPr="00D15DD8">
        <w:t xml:space="preserve">Au existat și </w:t>
      </w:r>
      <w:r w:rsidR="008B0A55" w:rsidRPr="00D15DD8">
        <w:t xml:space="preserve">câteva excepții, mai ales în rândul femeilor din țările </w:t>
      </w:r>
      <w:r w:rsidR="00DC43A3" w:rsidRPr="00D15DD8">
        <w:t>unde fumatul se afla</w:t>
      </w:r>
      <w:r w:rsidR="008B0A55" w:rsidRPr="00D15DD8">
        <w:t xml:space="preserve"> în stadiile in</w:t>
      </w:r>
      <w:r w:rsidR="00DC43A3" w:rsidRPr="00D15DD8">
        <w:t>cipiente</w:t>
      </w:r>
      <w:r w:rsidR="00D15DD8" w:rsidRPr="00D15DD8">
        <w:t>, dar î</w:t>
      </w:r>
      <w:r w:rsidR="00104C64" w:rsidRPr="00D15DD8">
        <w:t xml:space="preserve">n </w:t>
      </w:r>
      <w:r w:rsidR="00D15DD8" w:rsidRPr="00D15DD8">
        <w:t>celela</w:t>
      </w:r>
      <w:r w:rsidR="00104C64" w:rsidRPr="00D15DD8">
        <w:t xml:space="preserve">lte țări, fumatul a fost inițiat </w:t>
      </w:r>
      <w:r w:rsidR="008B0A55" w:rsidRPr="00D15DD8">
        <w:t xml:space="preserve">în timpul adolescenței mijlocii și târzii (vârsta 15-20 de ani). Prin urmare, această perioadă de viață este </w:t>
      </w:r>
      <w:r w:rsidR="00D15DD8" w:rsidRPr="00D15DD8">
        <w:t xml:space="preserve">o perioadă de timp </w:t>
      </w:r>
      <w:r w:rsidR="008B0A55" w:rsidRPr="00D15DD8">
        <w:t>esențială pen</w:t>
      </w:r>
      <w:r w:rsidR="004C6F24" w:rsidRPr="00D15DD8">
        <w:t>tru a opri</w:t>
      </w:r>
      <w:r w:rsidR="00D15DD8" w:rsidRPr="00D15DD8">
        <w:t xml:space="preserve"> inițierea unui</w:t>
      </w:r>
      <w:r w:rsidR="004C6F24" w:rsidRPr="00D15DD8">
        <w:t xml:space="preserve"> comportament care ar putea fi transmis</w:t>
      </w:r>
      <w:r w:rsidR="00D15DD8" w:rsidRPr="00D15DD8">
        <w:t xml:space="preserve"> ulterior</w:t>
      </w:r>
      <w:r w:rsidR="004C6F24" w:rsidRPr="00D15DD8">
        <w:t xml:space="preserve"> de la o</w:t>
      </w:r>
      <w:r w:rsidR="00104C64" w:rsidRPr="00D15DD8">
        <w:t xml:space="preserve"> </w:t>
      </w:r>
      <w:r w:rsidR="004C6F24" w:rsidRPr="00D15DD8">
        <w:t>generație l</w:t>
      </w:r>
      <w:r w:rsidR="008B0A55" w:rsidRPr="00D15DD8">
        <w:t>a</w:t>
      </w:r>
      <w:r w:rsidR="00020B35" w:rsidRPr="00D15DD8">
        <w:t xml:space="preserve"> alta</w:t>
      </w:r>
      <w:r w:rsidR="004C6F24" w:rsidRPr="00D15DD8">
        <w:t xml:space="preserve"> în ceea</w:t>
      </w:r>
      <w:r w:rsidR="00D15DD8" w:rsidRPr="00D15DD8">
        <w:t xml:space="preserve"> </w:t>
      </w:r>
      <w:r w:rsidR="004C6F24" w:rsidRPr="00D15DD8">
        <w:t>ce privește fumatul</w:t>
      </w:r>
      <w:r w:rsidR="008B0A55" w:rsidRPr="00D15DD8">
        <w:t>.</w:t>
      </w:r>
    </w:p>
    <w:p w14:paraId="15D62DEE" w14:textId="11A161DC" w:rsidR="00057F28" w:rsidRPr="00D15DD8" w:rsidRDefault="008B0A55" w:rsidP="00400932">
      <w:pPr>
        <w:pStyle w:val="ListParagraph"/>
        <w:numPr>
          <w:ilvl w:val="0"/>
          <w:numId w:val="12"/>
        </w:numPr>
      </w:pPr>
      <w:r w:rsidRPr="00D15DD8">
        <w:t xml:space="preserve">În al doilea rând, </w:t>
      </w:r>
      <w:r w:rsidR="00020B35" w:rsidRPr="00D15DD8">
        <w:t xml:space="preserve">la nivel global, </w:t>
      </w:r>
      <w:r w:rsidRPr="00D15DD8">
        <w:t>prevalența fumatului la tineri</w:t>
      </w:r>
      <w:r w:rsidR="004C6F24" w:rsidRPr="00D15DD8">
        <w:t xml:space="preserve"> a scăzut </w:t>
      </w:r>
      <w:r w:rsidRPr="00D15DD8">
        <w:t xml:space="preserve">cu aproximativ 33% în ultimii 30 de ani. </w:t>
      </w:r>
      <w:r w:rsidR="004C6F24" w:rsidRPr="00D15DD8">
        <w:t>Între anii 1990 și 2019, la nivel global a fost observată o scădere a</w:t>
      </w:r>
      <w:r w:rsidRPr="00D15DD8">
        <w:t xml:space="preserve"> prevalenței fumatului în majoritatea regiunilor, cu scăderi de până la 50% în America Latină și Caraibe</w:t>
      </w:r>
      <w:r w:rsidR="00D15DD8" w:rsidRPr="00D15DD8">
        <w:t>, dar au existat și excepții, de exemplu în rândul femeilor din Africa de Nord și Orientul Mijlociu. Deși î</w:t>
      </w:r>
      <w:r w:rsidR="00AA7645" w:rsidRPr="00D15DD8">
        <w:t>n ultimii 30 de ani fumatul a înregistrat o scădere</w:t>
      </w:r>
      <w:r w:rsidR="00D15DD8" w:rsidRPr="00D15DD8">
        <w:t>, această scădere a fost</w:t>
      </w:r>
      <w:r w:rsidR="00AA7645" w:rsidRPr="00D15DD8">
        <w:t xml:space="preserve"> lentă</w:t>
      </w:r>
      <w:r w:rsidR="00D15DD8" w:rsidRPr="00D15DD8">
        <w:t xml:space="preserve"> și insuficientă pentru a stopa fumatul</w:t>
      </w:r>
      <w:r w:rsidR="00AA7645" w:rsidRPr="00D15DD8">
        <w:t>.</w:t>
      </w:r>
      <w:r w:rsidRPr="00D15DD8">
        <w:t xml:space="preserve"> Această constatare evidențiază necesitatea unor eforturi suplimentare pentru a atinge obiectivul ambiț</w:t>
      </w:r>
      <w:r w:rsidR="00AA7645" w:rsidRPr="00D15DD8">
        <w:t>ios al unei generații fără fum</w:t>
      </w:r>
      <w:r w:rsidRPr="00D15DD8">
        <w:t>.</w:t>
      </w:r>
    </w:p>
    <w:p w14:paraId="54ACC2ED" w14:textId="52B2E1C9" w:rsidR="00057F28" w:rsidRPr="008B0A55" w:rsidRDefault="008B0A55" w:rsidP="00400932">
      <w:pPr>
        <w:pStyle w:val="Default"/>
        <w:spacing w:before="100" w:beforeAutospacing="1" w:after="100" w:afterAutospacing="1" w:line="240" w:lineRule="auto"/>
        <w:contextualSpacing/>
        <w:jc w:val="both"/>
        <w:rPr>
          <w:color w:val="FF0000"/>
          <w:sz w:val="22"/>
          <w:szCs w:val="22"/>
        </w:rPr>
      </w:pPr>
      <w:r w:rsidRPr="008B0A55">
        <w:rPr>
          <w:color w:val="auto"/>
          <w:sz w:val="22"/>
          <w:szCs w:val="22"/>
        </w:rPr>
        <w:t>Re</w:t>
      </w:r>
      <w:r w:rsidR="00EE10F8">
        <w:rPr>
          <w:color w:val="auto"/>
          <w:sz w:val="22"/>
          <w:szCs w:val="22"/>
        </w:rPr>
        <w:t xml:space="preserve">itsma și colegii </w:t>
      </w:r>
      <w:r w:rsidRPr="008B0A55">
        <w:rPr>
          <w:color w:val="auto"/>
          <w:sz w:val="22"/>
          <w:szCs w:val="22"/>
        </w:rPr>
        <w:t>o</w:t>
      </w:r>
      <w:r w:rsidR="00EE10F8">
        <w:rPr>
          <w:color w:val="auto"/>
          <w:sz w:val="22"/>
          <w:szCs w:val="22"/>
        </w:rPr>
        <w:t xml:space="preserve">feră câteva exemple </w:t>
      </w:r>
      <w:r w:rsidR="00D15DD8">
        <w:rPr>
          <w:color w:val="auto"/>
          <w:sz w:val="22"/>
          <w:szCs w:val="22"/>
        </w:rPr>
        <w:t xml:space="preserve">de politici </w:t>
      </w:r>
      <w:r w:rsidR="00EE10F8">
        <w:rPr>
          <w:color w:val="auto"/>
          <w:sz w:val="22"/>
          <w:szCs w:val="22"/>
        </w:rPr>
        <w:t xml:space="preserve">pentru </w:t>
      </w:r>
      <w:r w:rsidRPr="008B0A55">
        <w:rPr>
          <w:color w:val="auto"/>
          <w:sz w:val="22"/>
          <w:szCs w:val="22"/>
        </w:rPr>
        <w:t>aborda</w:t>
      </w:r>
      <w:r w:rsidR="00EE10F8">
        <w:rPr>
          <w:color w:val="auto"/>
          <w:sz w:val="22"/>
          <w:szCs w:val="22"/>
        </w:rPr>
        <w:t>rea</w:t>
      </w:r>
      <w:r w:rsidRPr="008B0A55">
        <w:rPr>
          <w:color w:val="auto"/>
          <w:sz w:val="22"/>
          <w:szCs w:val="22"/>
        </w:rPr>
        <w:t xml:space="preserve"> consumul</w:t>
      </w:r>
      <w:r w:rsidR="00EE10F8">
        <w:rPr>
          <w:color w:val="auto"/>
          <w:sz w:val="22"/>
          <w:szCs w:val="22"/>
        </w:rPr>
        <w:t>ui de tutun în rândul tinerilor</w:t>
      </w:r>
      <w:r w:rsidR="00D15DD8">
        <w:rPr>
          <w:color w:val="auto"/>
          <w:sz w:val="22"/>
          <w:szCs w:val="22"/>
        </w:rPr>
        <w:t>, î</w:t>
      </w:r>
      <w:r w:rsidRPr="008B0A55">
        <w:rPr>
          <w:color w:val="auto"/>
          <w:sz w:val="22"/>
          <w:szCs w:val="22"/>
        </w:rPr>
        <w:t>n conformitate cu recomandările și convențiile internaționale</w:t>
      </w:r>
      <w:r w:rsidR="00D15DD8">
        <w:rPr>
          <w:color w:val="auto"/>
          <w:sz w:val="22"/>
          <w:szCs w:val="22"/>
        </w:rPr>
        <w:t>. A</w:t>
      </w:r>
      <w:r w:rsidRPr="008B0A55">
        <w:rPr>
          <w:color w:val="auto"/>
          <w:sz w:val="22"/>
          <w:szCs w:val="22"/>
        </w:rPr>
        <w:t xml:space="preserve">cestea </w:t>
      </w:r>
      <w:r w:rsidR="00400932">
        <w:rPr>
          <w:color w:val="auto"/>
          <w:sz w:val="22"/>
          <w:szCs w:val="22"/>
        </w:rPr>
        <w:t>se referă în primul rând la</w:t>
      </w:r>
      <w:r w:rsidR="00EE10F8">
        <w:rPr>
          <w:color w:val="auto"/>
          <w:sz w:val="22"/>
          <w:szCs w:val="22"/>
        </w:rPr>
        <w:t xml:space="preserve"> politicile orientate pe produs și pe </w:t>
      </w:r>
      <w:r w:rsidRPr="008B0A55">
        <w:rPr>
          <w:color w:val="auto"/>
          <w:sz w:val="22"/>
          <w:szCs w:val="22"/>
        </w:rPr>
        <w:t>mediu</w:t>
      </w:r>
      <w:r>
        <w:rPr>
          <w:color w:val="auto"/>
          <w:sz w:val="22"/>
          <w:szCs w:val="22"/>
        </w:rPr>
        <w:t>.</w:t>
      </w:r>
      <w:r w:rsidR="00057F28" w:rsidRPr="008B0A55">
        <w:rPr>
          <w:color w:val="FF0000"/>
          <w:sz w:val="22"/>
          <w:szCs w:val="22"/>
        </w:rPr>
        <w:t xml:space="preserve"> </w:t>
      </w:r>
      <w:r w:rsidRPr="008B0A55">
        <w:rPr>
          <w:color w:val="auto"/>
          <w:sz w:val="22"/>
          <w:szCs w:val="22"/>
        </w:rPr>
        <w:t>Aceste politici ar putea afecta prevalența fumatului la tineri, făcând fumatul în soci</w:t>
      </w:r>
      <w:r w:rsidR="00EE10F8">
        <w:rPr>
          <w:color w:val="auto"/>
          <w:sz w:val="22"/>
          <w:szCs w:val="22"/>
        </w:rPr>
        <w:t>etate mai puțin vizibil</w:t>
      </w:r>
      <w:r w:rsidR="00400932">
        <w:rPr>
          <w:color w:val="auto"/>
          <w:sz w:val="22"/>
          <w:szCs w:val="22"/>
        </w:rPr>
        <w:t>, mai puțin acceptabil, mai puțin accesibil.</w:t>
      </w:r>
      <w:r w:rsidRPr="008B0A55">
        <w:rPr>
          <w:color w:val="FF0000"/>
          <w:sz w:val="22"/>
          <w:szCs w:val="22"/>
        </w:rPr>
        <w:t xml:space="preserve"> </w:t>
      </w:r>
      <w:r w:rsidRPr="008B0A55">
        <w:rPr>
          <w:color w:val="auto"/>
          <w:sz w:val="22"/>
          <w:szCs w:val="22"/>
        </w:rPr>
        <w:t>Mai mult, există dovezi ample cu privire la eficacitatea acestor politici în reducer</w:t>
      </w:r>
      <w:r w:rsidR="00EE10F8">
        <w:rPr>
          <w:color w:val="auto"/>
          <w:sz w:val="22"/>
          <w:szCs w:val="22"/>
        </w:rPr>
        <w:t xml:space="preserve">ea consumului de tutun </w:t>
      </w:r>
      <w:r w:rsidRPr="008B0A55">
        <w:rPr>
          <w:color w:val="auto"/>
          <w:sz w:val="22"/>
          <w:szCs w:val="22"/>
        </w:rPr>
        <w:t xml:space="preserve">la adulți. </w:t>
      </w:r>
      <w:r w:rsidR="00147252" w:rsidRPr="00147252">
        <w:rPr>
          <w:color w:val="auto"/>
          <w:sz w:val="22"/>
          <w:szCs w:val="22"/>
        </w:rPr>
        <w:t>Având în</w:t>
      </w:r>
      <w:r w:rsidR="00147252">
        <w:rPr>
          <w:color w:val="auto"/>
          <w:sz w:val="22"/>
          <w:szCs w:val="22"/>
        </w:rPr>
        <w:t xml:space="preserve"> vedere transmiterea </w:t>
      </w:r>
      <w:r w:rsidR="00147252" w:rsidRPr="00147252">
        <w:rPr>
          <w:color w:val="auto"/>
          <w:sz w:val="22"/>
          <w:szCs w:val="22"/>
        </w:rPr>
        <w:t xml:space="preserve">tiparelor de fumat de la părinți la copii, scăderea prevalenței fumatului în rândul </w:t>
      </w:r>
      <w:r w:rsidR="00147252">
        <w:rPr>
          <w:color w:val="auto"/>
          <w:sz w:val="22"/>
          <w:szCs w:val="22"/>
        </w:rPr>
        <w:t xml:space="preserve">adulților ar putea fi începutul </w:t>
      </w:r>
      <w:r w:rsidR="00147252" w:rsidRPr="00147252">
        <w:rPr>
          <w:color w:val="auto"/>
          <w:sz w:val="22"/>
          <w:szCs w:val="22"/>
        </w:rPr>
        <w:t>unor scăderi similare la tineri.</w:t>
      </w:r>
      <w:r w:rsidR="00147252">
        <w:rPr>
          <w:color w:val="auto"/>
          <w:sz w:val="22"/>
          <w:szCs w:val="22"/>
        </w:rPr>
        <w:t xml:space="preserve"> </w:t>
      </w:r>
      <w:r w:rsidR="00D25A0C" w:rsidRPr="00D25A0C">
        <w:rPr>
          <w:color w:val="auto"/>
          <w:sz w:val="22"/>
          <w:szCs w:val="22"/>
        </w:rPr>
        <w:t xml:space="preserve">Cu toate acestea, nu putem </w:t>
      </w:r>
      <w:r w:rsidR="00400932">
        <w:rPr>
          <w:color w:val="auto"/>
          <w:sz w:val="22"/>
          <w:szCs w:val="22"/>
        </w:rPr>
        <w:t>considera ca</w:t>
      </w:r>
      <w:r w:rsidR="00D25A0C" w:rsidRPr="00D25A0C">
        <w:rPr>
          <w:color w:val="auto"/>
          <w:sz w:val="22"/>
          <w:szCs w:val="22"/>
        </w:rPr>
        <w:t xml:space="preserve"> de la sine înțeles că politicile vor avea efecte similare a</w:t>
      </w:r>
      <w:r w:rsidR="00020B35">
        <w:rPr>
          <w:color w:val="auto"/>
          <w:sz w:val="22"/>
          <w:szCs w:val="22"/>
        </w:rPr>
        <w:t xml:space="preserve">supra fumatului la tineri așa cum au avut asupra </w:t>
      </w:r>
      <w:r w:rsidR="00D25A0C" w:rsidRPr="00D25A0C">
        <w:rPr>
          <w:color w:val="auto"/>
          <w:sz w:val="22"/>
          <w:szCs w:val="22"/>
        </w:rPr>
        <w:t>adulți</w:t>
      </w:r>
      <w:r w:rsidR="00020B35">
        <w:rPr>
          <w:color w:val="auto"/>
          <w:sz w:val="22"/>
          <w:szCs w:val="22"/>
        </w:rPr>
        <w:t>lor</w:t>
      </w:r>
      <w:r w:rsidR="00D25A0C" w:rsidRPr="00D25A0C">
        <w:rPr>
          <w:color w:val="auto"/>
          <w:sz w:val="22"/>
          <w:szCs w:val="22"/>
        </w:rPr>
        <w:t>.</w:t>
      </w:r>
      <w:r w:rsidR="00D25A0C">
        <w:rPr>
          <w:color w:val="FF0000"/>
          <w:sz w:val="22"/>
          <w:szCs w:val="22"/>
        </w:rPr>
        <w:t xml:space="preserve"> </w:t>
      </w:r>
      <w:r w:rsidR="00D25A0C" w:rsidRPr="00D25A0C">
        <w:rPr>
          <w:color w:val="auto"/>
          <w:sz w:val="22"/>
          <w:szCs w:val="22"/>
        </w:rPr>
        <w:t xml:space="preserve">Este importantă evaluarea politicilor în special </w:t>
      </w:r>
      <w:r w:rsidR="00020B35">
        <w:rPr>
          <w:color w:val="auto"/>
          <w:sz w:val="22"/>
          <w:szCs w:val="22"/>
        </w:rPr>
        <w:t xml:space="preserve">în ceea ce privește efectul acestora </w:t>
      </w:r>
      <w:r w:rsidR="00D25A0C" w:rsidRPr="00D25A0C">
        <w:rPr>
          <w:color w:val="auto"/>
          <w:sz w:val="22"/>
          <w:szCs w:val="22"/>
        </w:rPr>
        <w:t>asupra fumatului la tineri.</w:t>
      </w:r>
      <w:r w:rsidR="00057F28" w:rsidRPr="008B0A55">
        <w:rPr>
          <w:color w:val="FF0000"/>
          <w:sz w:val="22"/>
          <w:szCs w:val="22"/>
        </w:rPr>
        <w:t xml:space="preserve"> </w:t>
      </w:r>
      <w:r w:rsidR="00147252">
        <w:rPr>
          <w:color w:val="auto"/>
          <w:sz w:val="22"/>
          <w:szCs w:val="22"/>
        </w:rPr>
        <w:t>Politicile</w:t>
      </w:r>
      <w:r w:rsidR="00D25A0C" w:rsidRPr="00D25A0C">
        <w:rPr>
          <w:color w:val="auto"/>
          <w:sz w:val="22"/>
          <w:szCs w:val="22"/>
        </w:rPr>
        <w:t xml:space="preserve"> de impozitare a tutunului au confirmat în mare parte efectul așteptat: prețurile mai mari duc la rate mai scăzute de inițiere la fumat.</w:t>
      </w:r>
      <w:r w:rsidR="00D25A0C">
        <w:rPr>
          <w:color w:val="FF0000"/>
          <w:sz w:val="22"/>
          <w:szCs w:val="22"/>
        </w:rPr>
        <w:t xml:space="preserve"> </w:t>
      </w:r>
      <w:r w:rsidR="00D25A0C" w:rsidRPr="00D25A0C">
        <w:rPr>
          <w:color w:val="auto"/>
          <w:sz w:val="22"/>
          <w:szCs w:val="22"/>
        </w:rPr>
        <w:t>Din</w:t>
      </w:r>
      <w:r w:rsidR="00147252">
        <w:rPr>
          <w:color w:val="auto"/>
          <w:sz w:val="22"/>
          <w:szCs w:val="22"/>
        </w:rPr>
        <w:t xml:space="preserve"> păcate, celelalte </w:t>
      </w:r>
      <w:r w:rsidR="00D25A0C" w:rsidRPr="00D25A0C">
        <w:rPr>
          <w:color w:val="auto"/>
          <w:sz w:val="22"/>
          <w:szCs w:val="22"/>
        </w:rPr>
        <w:t>politici au fost mai rar studiate pentru efectul lor asupra fumatului la tineri.</w:t>
      </w:r>
      <w:r w:rsidR="00D25A0C">
        <w:rPr>
          <w:color w:val="FF0000"/>
          <w:sz w:val="22"/>
          <w:szCs w:val="22"/>
        </w:rPr>
        <w:t xml:space="preserve"> </w:t>
      </w:r>
      <w:r w:rsidR="00D25A0C" w:rsidRPr="00D25A0C">
        <w:rPr>
          <w:color w:val="auto"/>
          <w:sz w:val="22"/>
          <w:szCs w:val="22"/>
        </w:rPr>
        <w:t xml:space="preserve">De exemplu, </w:t>
      </w:r>
      <w:r w:rsidR="0019542C">
        <w:rPr>
          <w:color w:val="auto"/>
          <w:sz w:val="22"/>
          <w:szCs w:val="22"/>
        </w:rPr>
        <w:t xml:space="preserve">interzicerea fumatului în spațiile închise și </w:t>
      </w:r>
      <w:r w:rsidR="00D25A0C" w:rsidRPr="00D25A0C">
        <w:rPr>
          <w:color w:val="auto"/>
          <w:sz w:val="22"/>
          <w:szCs w:val="22"/>
        </w:rPr>
        <w:t>efectul</w:t>
      </w:r>
      <w:r w:rsidR="0019542C">
        <w:rPr>
          <w:color w:val="auto"/>
          <w:sz w:val="22"/>
          <w:szCs w:val="22"/>
        </w:rPr>
        <w:t xml:space="preserve"> pe care l-au avut aceste politici</w:t>
      </w:r>
      <w:r w:rsidR="00D25A0C" w:rsidRPr="00D25A0C">
        <w:rPr>
          <w:color w:val="auto"/>
          <w:sz w:val="22"/>
          <w:szCs w:val="22"/>
        </w:rPr>
        <w:t xml:space="preserve"> </w:t>
      </w:r>
      <w:r w:rsidR="0019542C">
        <w:rPr>
          <w:color w:val="auto"/>
          <w:sz w:val="22"/>
          <w:szCs w:val="22"/>
        </w:rPr>
        <w:t>în cazul adulților a f</w:t>
      </w:r>
      <w:r w:rsidR="008D5111">
        <w:rPr>
          <w:color w:val="auto"/>
          <w:sz w:val="22"/>
          <w:szCs w:val="22"/>
        </w:rPr>
        <w:t xml:space="preserve">ost abordat în numeroase studii, însă pentru adolescenți studiile sunt insuficiente </w:t>
      </w:r>
      <w:r w:rsidR="00D25A0C" w:rsidRPr="00D25A0C">
        <w:rPr>
          <w:color w:val="auto"/>
          <w:sz w:val="22"/>
          <w:szCs w:val="22"/>
        </w:rPr>
        <w:t>(Kuipers M, Amsterdam UMC, comunicare personală).</w:t>
      </w:r>
    </w:p>
    <w:p w14:paraId="02BED22C" w14:textId="5A9E3816" w:rsidR="00A077C6" w:rsidRDefault="008D5111" w:rsidP="00400932">
      <w:pPr>
        <w:pStyle w:val="Default"/>
        <w:spacing w:before="100" w:beforeAutospacing="1" w:after="100" w:afterAutospacing="1" w:line="240" w:lineRule="auto"/>
        <w:contextualSpacing/>
        <w:jc w:val="both"/>
        <w:rPr>
          <w:color w:val="auto"/>
          <w:sz w:val="22"/>
          <w:szCs w:val="22"/>
        </w:rPr>
      </w:pPr>
      <w:r>
        <w:rPr>
          <w:color w:val="auto"/>
          <w:sz w:val="22"/>
          <w:szCs w:val="22"/>
        </w:rPr>
        <w:t>A</w:t>
      </w:r>
      <w:r w:rsidR="00D25A0C" w:rsidRPr="00D25A0C">
        <w:rPr>
          <w:color w:val="auto"/>
          <w:sz w:val="22"/>
          <w:szCs w:val="22"/>
        </w:rPr>
        <w:t>u fo</w:t>
      </w:r>
      <w:r>
        <w:rPr>
          <w:color w:val="auto"/>
          <w:sz w:val="22"/>
          <w:szCs w:val="22"/>
        </w:rPr>
        <w:t xml:space="preserve">st evaluate politici în ceea ce privește efectul pe care acestea l-ar putea avea </w:t>
      </w:r>
      <w:r w:rsidR="00D25A0C" w:rsidRPr="00D25A0C">
        <w:rPr>
          <w:color w:val="auto"/>
          <w:sz w:val="22"/>
          <w:szCs w:val="22"/>
        </w:rPr>
        <w:t xml:space="preserve"> </w:t>
      </w:r>
      <w:r>
        <w:rPr>
          <w:color w:val="auto"/>
          <w:sz w:val="22"/>
          <w:szCs w:val="22"/>
        </w:rPr>
        <w:t xml:space="preserve">asupra consumului de tutun </w:t>
      </w:r>
      <w:r w:rsidR="00D25A0C" w:rsidRPr="00D25A0C">
        <w:rPr>
          <w:color w:val="auto"/>
          <w:sz w:val="22"/>
          <w:szCs w:val="22"/>
        </w:rPr>
        <w:t xml:space="preserve">la tineri, </w:t>
      </w:r>
      <w:r>
        <w:rPr>
          <w:color w:val="auto"/>
          <w:sz w:val="22"/>
          <w:szCs w:val="22"/>
        </w:rPr>
        <w:t xml:space="preserve">însă rezultatele au fost </w:t>
      </w:r>
      <w:r w:rsidR="00D25A0C" w:rsidRPr="00D25A0C">
        <w:rPr>
          <w:color w:val="auto"/>
          <w:sz w:val="22"/>
          <w:szCs w:val="22"/>
        </w:rPr>
        <w:t>neconcludente</w:t>
      </w:r>
      <w:r w:rsidR="00D25A0C">
        <w:rPr>
          <w:color w:val="FF0000"/>
          <w:sz w:val="22"/>
          <w:szCs w:val="22"/>
        </w:rPr>
        <w:t xml:space="preserve">. </w:t>
      </w:r>
      <w:r w:rsidR="00D25A0C" w:rsidRPr="00D25A0C">
        <w:rPr>
          <w:color w:val="auto"/>
          <w:sz w:val="22"/>
          <w:szCs w:val="22"/>
        </w:rPr>
        <w:t>reducere</w:t>
      </w:r>
      <w:r w:rsidR="00DA4B5B">
        <w:rPr>
          <w:color w:val="auto"/>
          <w:sz w:val="22"/>
          <w:szCs w:val="22"/>
        </w:rPr>
        <w:t xml:space="preserve"> </w:t>
      </w:r>
      <w:r w:rsidR="00D25A0C" w:rsidRPr="00D25A0C">
        <w:rPr>
          <w:color w:val="auto"/>
          <w:sz w:val="22"/>
          <w:szCs w:val="22"/>
        </w:rPr>
        <w:t>a fumatului în rândul tinerilor</w:t>
      </w:r>
      <w:r w:rsidR="00DA4B5B">
        <w:rPr>
          <w:color w:val="auto"/>
          <w:sz w:val="22"/>
          <w:szCs w:val="22"/>
        </w:rPr>
        <w:t>, însă în alte studii nu au fost identificate rezultate</w:t>
      </w:r>
      <w:r w:rsidR="00D25A0C" w:rsidRPr="00D25A0C">
        <w:rPr>
          <w:color w:val="auto"/>
          <w:sz w:val="22"/>
          <w:szCs w:val="22"/>
        </w:rPr>
        <w:t>.</w:t>
      </w:r>
      <w:r w:rsidR="00D25A0C">
        <w:rPr>
          <w:color w:val="FF0000"/>
          <w:sz w:val="22"/>
          <w:szCs w:val="22"/>
        </w:rPr>
        <w:t xml:space="preserve"> </w:t>
      </w:r>
      <w:r w:rsidR="00DA4B5B">
        <w:rPr>
          <w:color w:val="auto"/>
          <w:sz w:val="22"/>
          <w:szCs w:val="22"/>
        </w:rPr>
        <w:t>Deși conceptiile</w:t>
      </w:r>
      <w:r w:rsidR="00D25A0C" w:rsidRPr="00D25A0C">
        <w:rPr>
          <w:color w:val="auto"/>
          <w:sz w:val="22"/>
          <w:szCs w:val="22"/>
        </w:rPr>
        <w:t xml:space="preserve"> nu neagă potențialele beneficii ale politicilor școlilor fără fumat, ele re</w:t>
      </w:r>
      <w:r w:rsidR="00DA4B5B">
        <w:rPr>
          <w:color w:val="auto"/>
          <w:sz w:val="22"/>
          <w:szCs w:val="22"/>
        </w:rPr>
        <w:t>prezintă un semnal de avertizare</w:t>
      </w:r>
      <w:r w:rsidR="00D25A0C" w:rsidRPr="00D25A0C">
        <w:rPr>
          <w:color w:val="auto"/>
          <w:sz w:val="22"/>
          <w:szCs w:val="22"/>
        </w:rPr>
        <w:t xml:space="preserve"> că aceste beneficii ar putea sau nu să fie culese în practică, în funcție de modul în care politicile sunt implementate și aplicate.</w:t>
      </w:r>
      <w:r w:rsidR="00D25A0C">
        <w:rPr>
          <w:color w:val="FF0000"/>
          <w:sz w:val="22"/>
          <w:szCs w:val="22"/>
        </w:rPr>
        <w:t xml:space="preserve"> </w:t>
      </w:r>
      <w:r w:rsidR="006A74D6" w:rsidRPr="005664D0">
        <w:rPr>
          <w:color w:val="auto"/>
          <w:sz w:val="22"/>
          <w:szCs w:val="22"/>
        </w:rPr>
        <w:t>Este important ca aceste politici să țină cont de experiențele și opiniile elevilor</w:t>
      </w:r>
      <w:r w:rsidR="005664D0" w:rsidRPr="005664D0">
        <w:rPr>
          <w:color w:val="auto"/>
          <w:sz w:val="22"/>
          <w:szCs w:val="22"/>
        </w:rPr>
        <w:t>.</w:t>
      </w:r>
      <w:r w:rsidR="005664D0">
        <w:rPr>
          <w:color w:val="FF0000"/>
          <w:sz w:val="22"/>
          <w:szCs w:val="22"/>
        </w:rPr>
        <w:t xml:space="preserve"> </w:t>
      </w:r>
      <w:r w:rsidR="00D25A0C" w:rsidRPr="00D25A0C">
        <w:rPr>
          <w:color w:val="auto"/>
          <w:sz w:val="22"/>
          <w:szCs w:val="22"/>
        </w:rPr>
        <w:t>Evaluări</w:t>
      </w:r>
      <w:r w:rsidR="006A74D6">
        <w:rPr>
          <w:color w:val="auto"/>
          <w:sz w:val="22"/>
          <w:szCs w:val="22"/>
        </w:rPr>
        <w:t>le</w:t>
      </w:r>
      <w:r w:rsidR="00D25A0C" w:rsidRPr="00D25A0C">
        <w:rPr>
          <w:color w:val="auto"/>
          <w:sz w:val="22"/>
          <w:szCs w:val="22"/>
        </w:rPr>
        <w:t xml:space="preserve"> aprofundate au arătat că tinerii ar putea răspunde la </w:t>
      </w:r>
      <w:r w:rsidR="005664D0">
        <w:rPr>
          <w:color w:val="auto"/>
          <w:sz w:val="22"/>
          <w:szCs w:val="22"/>
        </w:rPr>
        <w:t xml:space="preserve">aceste politici diferit față de </w:t>
      </w:r>
      <w:r w:rsidR="00D25A0C" w:rsidRPr="00D25A0C">
        <w:rPr>
          <w:color w:val="auto"/>
          <w:sz w:val="22"/>
          <w:szCs w:val="22"/>
        </w:rPr>
        <w:t>adulți</w:t>
      </w:r>
      <w:r w:rsidR="00D25A0C">
        <w:rPr>
          <w:color w:val="FF0000"/>
          <w:sz w:val="22"/>
          <w:szCs w:val="22"/>
        </w:rPr>
        <w:t xml:space="preserve">. </w:t>
      </w:r>
      <w:r w:rsidR="008462DE">
        <w:rPr>
          <w:color w:val="auto"/>
          <w:sz w:val="22"/>
          <w:szCs w:val="22"/>
        </w:rPr>
        <w:t xml:space="preserve">Fumatul fiind </w:t>
      </w:r>
      <w:r w:rsidR="00D25A0C" w:rsidRPr="00D25A0C">
        <w:rPr>
          <w:color w:val="auto"/>
          <w:sz w:val="22"/>
          <w:szCs w:val="22"/>
        </w:rPr>
        <w:t xml:space="preserve">interzis în școli, elevii ar </w:t>
      </w:r>
      <w:r w:rsidR="008462DE">
        <w:rPr>
          <w:color w:val="auto"/>
          <w:sz w:val="22"/>
          <w:szCs w:val="22"/>
        </w:rPr>
        <w:t>putea fuma</w:t>
      </w:r>
      <w:r w:rsidR="00D25A0C" w:rsidRPr="00D25A0C">
        <w:rPr>
          <w:color w:val="auto"/>
          <w:sz w:val="22"/>
          <w:szCs w:val="22"/>
        </w:rPr>
        <w:t xml:space="preserve"> în alte momente și în alte locuri</w:t>
      </w:r>
      <w:r w:rsidR="00D25A0C">
        <w:rPr>
          <w:color w:val="FF0000"/>
          <w:sz w:val="22"/>
          <w:szCs w:val="22"/>
        </w:rPr>
        <w:t xml:space="preserve">. </w:t>
      </w:r>
      <w:r w:rsidR="008462DE">
        <w:rPr>
          <w:color w:val="auto"/>
          <w:sz w:val="22"/>
          <w:szCs w:val="22"/>
        </w:rPr>
        <w:t xml:space="preserve">Dacă </w:t>
      </w:r>
      <w:r w:rsidR="00D25A0C" w:rsidRPr="00D25A0C">
        <w:rPr>
          <w:color w:val="auto"/>
          <w:sz w:val="22"/>
          <w:szCs w:val="22"/>
        </w:rPr>
        <w:t xml:space="preserve">costul țigărilor crește, </w:t>
      </w:r>
      <w:r w:rsidR="008462DE" w:rsidRPr="00D25A0C">
        <w:rPr>
          <w:color w:val="auto"/>
          <w:sz w:val="22"/>
          <w:szCs w:val="22"/>
        </w:rPr>
        <w:t xml:space="preserve">mai degrabă </w:t>
      </w:r>
      <w:r w:rsidR="008462DE">
        <w:rPr>
          <w:color w:val="auto"/>
          <w:sz w:val="22"/>
          <w:szCs w:val="22"/>
        </w:rPr>
        <w:t>tinerii ar cere mai mulți bani părinților  decât renunțarea sau scăderea consumui de tutun</w:t>
      </w:r>
      <w:r w:rsidR="00D25A0C" w:rsidRPr="00D25A0C">
        <w:rPr>
          <w:color w:val="auto"/>
          <w:sz w:val="22"/>
          <w:szCs w:val="22"/>
        </w:rPr>
        <w:t>.</w:t>
      </w:r>
      <w:r w:rsidR="00057F28" w:rsidRPr="008B0A55">
        <w:rPr>
          <w:color w:val="FF0000"/>
          <w:sz w:val="22"/>
          <w:szCs w:val="22"/>
        </w:rPr>
        <w:t>.</w:t>
      </w:r>
      <w:r w:rsidR="00D25A0C">
        <w:rPr>
          <w:color w:val="FF0000"/>
          <w:sz w:val="22"/>
          <w:szCs w:val="22"/>
        </w:rPr>
        <w:t xml:space="preserve"> </w:t>
      </w:r>
      <w:r w:rsidR="005664D0">
        <w:rPr>
          <w:color w:val="auto"/>
          <w:sz w:val="22"/>
          <w:szCs w:val="22"/>
        </w:rPr>
        <w:t xml:space="preserve">Dacă </w:t>
      </w:r>
      <w:r w:rsidR="00D25A0C" w:rsidRPr="00D25A0C">
        <w:rPr>
          <w:color w:val="auto"/>
          <w:sz w:val="22"/>
          <w:szCs w:val="22"/>
        </w:rPr>
        <w:t xml:space="preserve">adolescenților nu li </w:t>
      </w:r>
      <w:r w:rsidR="005664D0">
        <w:rPr>
          <w:color w:val="auto"/>
          <w:sz w:val="22"/>
          <w:szCs w:val="22"/>
        </w:rPr>
        <w:t>se permite să cumpere țigări, aceștia pot găsi diverse metode p</w:t>
      </w:r>
      <w:r w:rsidR="008462DE">
        <w:rPr>
          <w:color w:val="auto"/>
          <w:sz w:val="22"/>
          <w:szCs w:val="22"/>
        </w:rPr>
        <w:t xml:space="preserve">entru achiziționarea acestora, dexemplu prin apelarea </w:t>
      </w:r>
      <w:r w:rsidR="00A077C6">
        <w:rPr>
          <w:color w:val="auto"/>
          <w:sz w:val="22"/>
          <w:szCs w:val="22"/>
        </w:rPr>
        <w:t>la colegii mai mari ca vârstă.</w:t>
      </w:r>
      <w:r w:rsidR="00D25A0C" w:rsidRPr="00D25A0C">
        <w:rPr>
          <w:color w:val="auto"/>
          <w:sz w:val="22"/>
          <w:szCs w:val="22"/>
        </w:rPr>
        <w:t xml:space="preserve"> </w:t>
      </w:r>
    </w:p>
    <w:p w14:paraId="6D918DD1" w14:textId="5CEDD851" w:rsidR="00057F28" w:rsidRPr="00247380" w:rsidRDefault="00A077C6" w:rsidP="00B37A09">
      <w:pPr>
        <w:pStyle w:val="Default"/>
        <w:spacing w:before="100" w:beforeAutospacing="1" w:after="100" w:afterAutospacing="1" w:line="240" w:lineRule="auto"/>
        <w:contextualSpacing/>
        <w:jc w:val="both"/>
        <w:rPr>
          <w:rStyle w:val="A2"/>
          <w:rFonts w:cs="Times New Roman"/>
          <w:color w:val="auto"/>
          <w:sz w:val="22"/>
          <w:szCs w:val="22"/>
        </w:rPr>
      </w:pPr>
      <w:r>
        <w:rPr>
          <w:color w:val="auto"/>
          <w:sz w:val="22"/>
          <w:szCs w:val="22"/>
        </w:rPr>
        <w:t>O</w:t>
      </w:r>
      <w:r w:rsidR="00D25A0C" w:rsidRPr="00D25A0C">
        <w:rPr>
          <w:color w:val="auto"/>
          <w:sz w:val="22"/>
          <w:szCs w:val="22"/>
        </w:rPr>
        <w:t>piniile, experiențele și răspunsurile tinerilor ar putea ajuta</w:t>
      </w:r>
      <w:r>
        <w:rPr>
          <w:color w:val="auto"/>
          <w:sz w:val="22"/>
          <w:szCs w:val="22"/>
        </w:rPr>
        <w:t xml:space="preserve"> la înțelegerea impactului pe care aplicarea diverselor politici l-ar putea avea asupra tinerilor.</w:t>
      </w:r>
      <w:r w:rsidR="00D25A0C" w:rsidRPr="00D25A0C">
        <w:rPr>
          <w:color w:val="auto"/>
          <w:sz w:val="22"/>
          <w:szCs w:val="22"/>
        </w:rPr>
        <w:t xml:space="preserve"> </w:t>
      </w:r>
      <w:r w:rsidR="00247380" w:rsidRPr="00247380">
        <w:rPr>
          <w:color w:val="auto"/>
          <w:sz w:val="22"/>
          <w:szCs w:val="22"/>
        </w:rPr>
        <w:t>Astfel de</w:t>
      </w:r>
      <w:r>
        <w:rPr>
          <w:color w:val="auto"/>
          <w:sz w:val="22"/>
          <w:szCs w:val="22"/>
        </w:rPr>
        <w:t xml:space="preserve"> măsuri ar trebui extinse și în </w:t>
      </w:r>
      <w:r w:rsidR="00247380" w:rsidRPr="00247380">
        <w:rPr>
          <w:color w:val="auto"/>
          <w:sz w:val="22"/>
          <w:szCs w:val="22"/>
        </w:rPr>
        <w:t>mediile cu venituri mici.</w:t>
      </w:r>
      <w:r>
        <w:rPr>
          <w:color w:val="FF0000"/>
          <w:sz w:val="22"/>
          <w:szCs w:val="22"/>
        </w:rPr>
        <w:t xml:space="preserve"> </w:t>
      </w:r>
      <w:r w:rsidR="00247380" w:rsidRPr="00247380">
        <w:rPr>
          <w:rStyle w:val="A2"/>
          <w:rFonts w:cs="Times New Roman"/>
          <w:color w:val="auto"/>
          <w:sz w:val="22"/>
          <w:szCs w:val="22"/>
        </w:rPr>
        <w:t xml:space="preserve">De exemplu, în Indonezia, reclamele la radio și televiziune sunt interzise </w:t>
      </w:r>
      <w:r w:rsidR="00D10BB7">
        <w:rPr>
          <w:rStyle w:val="A2"/>
          <w:rFonts w:cs="Times New Roman"/>
          <w:color w:val="auto"/>
          <w:sz w:val="22"/>
          <w:szCs w:val="22"/>
        </w:rPr>
        <w:t>în tinerilor</w:t>
      </w:r>
      <w:r w:rsidR="0071176A">
        <w:rPr>
          <w:rStyle w:val="A2"/>
          <w:rFonts w:cs="Times New Roman"/>
          <w:color w:val="auto"/>
          <w:sz w:val="22"/>
          <w:szCs w:val="22"/>
        </w:rPr>
        <w:t xml:space="preserve">, însă aceștia </w:t>
      </w:r>
      <w:r w:rsidR="00247380" w:rsidRPr="00247380">
        <w:rPr>
          <w:rStyle w:val="A2"/>
          <w:rFonts w:cs="Times New Roman"/>
          <w:color w:val="auto"/>
          <w:sz w:val="22"/>
          <w:szCs w:val="22"/>
        </w:rPr>
        <w:t xml:space="preserve">raportează </w:t>
      </w:r>
      <w:r w:rsidR="0071176A">
        <w:rPr>
          <w:rStyle w:val="A2"/>
          <w:rFonts w:cs="Times New Roman"/>
          <w:color w:val="auto"/>
          <w:sz w:val="22"/>
          <w:szCs w:val="22"/>
        </w:rPr>
        <w:t xml:space="preserve">o expunere frecventă </w:t>
      </w:r>
      <w:r w:rsidR="00D10BB7">
        <w:rPr>
          <w:rStyle w:val="A2"/>
          <w:rFonts w:cs="Times New Roman"/>
          <w:color w:val="auto"/>
          <w:sz w:val="22"/>
          <w:szCs w:val="22"/>
        </w:rPr>
        <w:t xml:space="preserve">a reclamelor </w:t>
      </w:r>
      <w:r w:rsidR="0071176A">
        <w:rPr>
          <w:rStyle w:val="A2"/>
          <w:rFonts w:cs="Times New Roman"/>
          <w:color w:val="auto"/>
          <w:sz w:val="22"/>
          <w:szCs w:val="22"/>
        </w:rPr>
        <w:t xml:space="preserve">pe rețelele sociale sau </w:t>
      </w:r>
      <w:r w:rsidR="00247380" w:rsidRPr="00247380">
        <w:rPr>
          <w:rStyle w:val="A2"/>
          <w:rFonts w:cs="Times New Roman"/>
          <w:color w:val="auto"/>
          <w:sz w:val="22"/>
          <w:szCs w:val="22"/>
        </w:rPr>
        <w:t xml:space="preserve">evenimente sportive. </w:t>
      </w:r>
      <w:r w:rsidR="00247380" w:rsidRPr="00247380">
        <w:rPr>
          <w:color w:val="auto"/>
          <w:sz w:val="22"/>
          <w:szCs w:val="22"/>
        </w:rPr>
        <w:t>Astfel de perspective ar putea informa încercările de a face politicile mai ef</w:t>
      </w:r>
      <w:r w:rsidR="00247380">
        <w:rPr>
          <w:color w:val="auto"/>
          <w:sz w:val="22"/>
          <w:szCs w:val="22"/>
        </w:rPr>
        <w:t xml:space="preserve">iciente (de exemplu, extinderea </w:t>
      </w:r>
      <w:r w:rsidR="00247380" w:rsidRPr="00247380">
        <w:rPr>
          <w:color w:val="auto"/>
          <w:sz w:val="22"/>
          <w:szCs w:val="22"/>
        </w:rPr>
        <w:t>interdicțiilor reclamelor) și ar putea informa adaptarea acțiunilor pentru grupuri specifice de tineri.</w:t>
      </w:r>
    </w:p>
    <w:p w14:paraId="03FA6EBD" w14:textId="215299C8" w:rsidR="004C364B" w:rsidRPr="00247380" w:rsidRDefault="00247380" w:rsidP="00B37A09">
      <w:pPr>
        <w:pStyle w:val="Default"/>
        <w:spacing w:before="100" w:beforeAutospacing="1" w:after="100" w:afterAutospacing="1" w:line="240" w:lineRule="auto"/>
        <w:contextualSpacing/>
        <w:jc w:val="both"/>
        <w:rPr>
          <w:color w:val="auto"/>
          <w:sz w:val="22"/>
          <w:szCs w:val="22"/>
        </w:rPr>
      </w:pPr>
      <w:r w:rsidRPr="00247380">
        <w:rPr>
          <w:color w:val="auto"/>
          <w:sz w:val="22"/>
          <w:szCs w:val="22"/>
        </w:rPr>
        <w:t xml:space="preserve">Perspectivele despre fumatul la tineri ar putea proveni nu numai din abordări cantitative, cum ar fi analiza anchetelor de sănătate, ci și din abordări calitative, cum ar fi interviuri aprofundate, discuții de grup și </w:t>
      </w:r>
      <w:r w:rsidRPr="00247380">
        <w:rPr>
          <w:color w:val="auto"/>
          <w:sz w:val="22"/>
          <w:szCs w:val="22"/>
        </w:rPr>
        <w:lastRenderedPageBreak/>
        <w:t>cercetare participativă.</w:t>
      </w:r>
      <w:r>
        <w:rPr>
          <w:color w:val="FF0000"/>
          <w:sz w:val="22"/>
          <w:szCs w:val="22"/>
        </w:rPr>
        <w:t xml:space="preserve"> </w:t>
      </w:r>
      <w:r w:rsidRPr="00247380">
        <w:rPr>
          <w:color w:val="auto"/>
          <w:sz w:val="22"/>
          <w:szCs w:val="22"/>
        </w:rPr>
        <w:t>Abordările calitative ca acestea vizează mai degrabă o perspectivă emică (din interior) decât o perspectivă etică (din exterior).</w:t>
      </w:r>
      <w:r>
        <w:rPr>
          <w:color w:val="FF0000"/>
          <w:sz w:val="22"/>
          <w:szCs w:val="22"/>
        </w:rPr>
        <w:t xml:space="preserve"> </w:t>
      </w:r>
      <w:r w:rsidRPr="00247380">
        <w:rPr>
          <w:color w:val="auto"/>
          <w:sz w:val="22"/>
          <w:szCs w:val="22"/>
        </w:rPr>
        <w:t xml:space="preserve">Abordările emice ar putea ajuta la înțelegerea modului în care tinerii ar putea deveni dependenți, a ceea ce au nevoie pentru a nu fuma și a modului în care politicile îi pot ajuta și proteja cel mai bine. </w:t>
      </w:r>
      <w:r w:rsidR="00057F28" w:rsidRPr="008B0A55">
        <w:rPr>
          <w:color w:val="FF0000"/>
          <w:sz w:val="22"/>
          <w:szCs w:val="22"/>
        </w:rPr>
        <w:t xml:space="preserve"> </w:t>
      </w:r>
      <w:r w:rsidRPr="00247380">
        <w:rPr>
          <w:color w:val="auto"/>
          <w:sz w:val="22"/>
          <w:szCs w:val="22"/>
        </w:rPr>
        <w:t>Pe scurt, pentru a informa politicile care să pună capăt epidemiei de tutun, avem nevoie de abordări atât emice, cât și etice.</w:t>
      </w:r>
    </w:p>
    <w:p w14:paraId="3976EAC1" w14:textId="77777777" w:rsidR="0035395A" w:rsidRPr="000C1672" w:rsidRDefault="00570D51" w:rsidP="000C1672">
      <w:pPr>
        <w:spacing w:before="100" w:beforeAutospacing="1" w:after="100" w:afterAutospacing="1"/>
        <w:contextualSpacing/>
      </w:pPr>
      <w:hyperlink r:id="rId32" w:history="1">
        <w:r w:rsidR="0035395A" w:rsidRPr="000C1672">
          <w:rPr>
            <w:color w:val="0563C1"/>
            <w:u w:val="single"/>
          </w:rPr>
          <w:t>https://www.thelancet.com/action/showPdf?pii=S2468-2667%2821%2900114-6</w:t>
        </w:r>
      </w:hyperlink>
    </w:p>
    <w:p w14:paraId="2218BA64" w14:textId="09E94341" w:rsidR="00BC1E49" w:rsidRPr="000C1672" w:rsidRDefault="00470695" w:rsidP="000C1672">
      <w:pPr>
        <w:autoSpaceDE w:val="0"/>
        <w:autoSpaceDN w:val="0"/>
        <w:adjustRightInd w:val="0"/>
        <w:spacing w:before="100" w:beforeAutospacing="1" w:after="100" w:afterAutospacing="1"/>
        <w:contextualSpacing/>
        <w:rPr>
          <w:lang w:val="ro-RO"/>
        </w:rPr>
      </w:pPr>
      <w:r>
        <w:t>Reitsma MB, Flor LS, Mullany EC, Gupta V, Hay SI, Gakidou E. Spatial, temporal, and demographic patterns in prevalence of smoking tobacco use and initiation among young people in 204 countries and territories, 1990–2019. Lancet Public Health 2021; 6: e472–81.</w:t>
      </w:r>
    </w:p>
    <w:p w14:paraId="29B364B9" w14:textId="77777777" w:rsidR="00BC1E49" w:rsidRPr="000C1672" w:rsidRDefault="003125F4" w:rsidP="000C1672">
      <w:pPr>
        <w:autoSpaceDE w:val="0"/>
        <w:autoSpaceDN w:val="0"/>
        <w:adjustRightInd w:val="0"/>
        <w:spacing w:before="100" w:beforeAutospacing="1" w:after="100" w:afterAutospacing="1"/>
        <w:contextualSpacing/>
        <w:rPr>
          <w:lang w:val="ro-RO"/>
        </w:rPr>
      </w:pPr>
      <w:r w:rsidRPr="000C1672">
        <w:rPr>
          <w:lang w:val="ro-RO"/>
        </w:rPr>
        <w:t>---------------------------</w:t>
      </w:r>
    </w:p>
    <w:p w14:paraId="622BD13D" w14:textId="77777777" w:rsidR="003125F4" w:rsidRPr="00BC1E49" w:rsidRDefault="003125F4" w:rsidP="00BC1E49">
      <w:pPr>
        <w:autoSpaceDE w:val="0"/>
        <w:autoSpaceDN w:val="0"/>
        <w:adjustRightInd w:val="0"/>
        <w:spacing w:after="0"/>
        <w:rPr>
          <w:lang w:val="ro-RO"/>
        </w:rPr>
      </w:pPr>
    </w:p>
    <w:p w14:paraId="46070EAA" w14:textId="06D0741E" w:rsidR="00087249" w:rsidRPr="00087249" w:rsidRDefault="00087249" w:rsidP="00020B35">
      <w:pPr>
        <w:spacing w:before="100" w:beforeAutospacing="1" w:after="100" w:afterAutospacing="1" w:line="300" w:lineRule="atLeast"/>
        <w:contextualSpacing/>
        <w:rPr>
          <w:color w:val="FF0000"/>
        </w:rPr>
      </w:pPr>
      <w:r w:rsidRPr="00B37A09">
        <w:rPr>
          <w:b/>
          <w:bCs/>
        </w:rPr>
        <w:t>Health Behaviour in School-aged Children (HBSC)  Comportamentul sănătății la copiii de vârstă</w:t>
      </w:r>
      <w:r w:rsidRPr="00B37A09">
        <w:t xml:space="preserve"> </w:t>
      </w:r>
      <w:r w:rsidRPr="00087249">
        <w:t xml:space="preserve">școlară (HBSC) este un studiu transnațional colaborativ al </w:t>
      </w:r>
      <w:r w:rsidR="0071176A">
        <w:t>Organizației Mondiale a Sănătății (</w:t>
      </w:r>
      <w:r w:rsidRPr="00087249">
        <w:t>OMS</w:t>
      </w:r>
      <w:r w:rsidR="0071176A">
        <w:t>)</w:t>
      </w:r>
      <w:r w:rsidRPr="00087249">
        <w:t xml:space="preserve"> privind sănătatea și bunăstarea adolescenților</w:t>
      </w:r>
      <w:r>
        <w:rPr>
          <w:color w:val="FF0000"/>
        </w:rPr>
        <w:t xml:space="preserve">. </w:t>
      </w:r>
      <w:r w:rsidR="00DA737D">
        <w:t xml:space="preserve">Acest studiu este bazat pe chestionarele aplicate în școli copiilor cu vârste de 11, 13 și 15 ani, fiind realizat la fiecare patru ani.  Constatările acestui studiu </w:t>
      </w:r>
      <w:r w:rsidRPr="00087249">
        <w:t>sunt utilizate la nivel național, regional și internațional pentru</w:t>
      </w:r>
      <w:r>
        <w:t>:</w:t>
      </w:r>
    </w:p>
    <w:p w14:paraId="4CAEF3D4" w14:textId="77777777" w:rsidR="00087249" w:rsidRPr="00087249" w:rsidRDefault="00F35F21" w:rsidP="00020B35">
      <w:pPr>
        <w:numPr>
          <w:ilvl w:val="0"/>
          <w:numId w:val="3"/>
        </w:numPr>
        <w:spacing w:before="100" w:beforeAutospacing="1" w:after="100" w:afterAutospacing="1"/>
        <w:contextualSpacing/>
      </w:pPr>
      <w:r w:rsidRPr="00F35F21">
        <w:t>obține</w:t>
      </w:r>
      <w:r w:rsidR="005B0DC8">
        <w:t>rea unei perspective noi</w:t>
      </w:r>
      <w:r w:rsidRPr="00F35F21">
        <w:t xml:space="preserve"> asupra sănătății și bunăstării tinerilor</w:t>
      </w:r>
    </w:p>
    <w:p w14:paraId="47979D57" w14:textId="77777777" w:rsidR="00F35F21" w:rsidRPr="00087249" w:rsidRDefault="005B0DC8" w:rsidP="00020B35">
      <w:pPr>
        <w:numPr>
          <w:ilvl w:val="0"/>
          <w:numId w:val="3"/>
        </w:numPr>
        <w:spacing w:before="100" w:beforeAutospacing="1" w:after="100" w:afterAutospacing="1"/>
        <w:contextualSpacing/>
      </w:pPr>
      <w:r>
        <w:t>înțelegerea determinanților</w:t>
      </w:r>
      <w:r w:rsidR="00F35F21" w:rsidRPr="00F35F21">
        <w:t xml:space="preserve"> sociali ai sănătății</w:t>
      </w:r>
    </w:p>
    <w:p w14:paraId="130824A4" w14:textId="77777777" w:rsidR="00F35F21" w:rsidRPr="00087249" w:rsidRDefault="005B0DC8" w:rsidP="00020B35">
      <w:pPr>
        <w:numPr>
          <w:ilvl w:val="0"/>
          <w:numId w:val="3"/>
        </w:numPr>
        <w:spacing w:before="100" w:beforeAutospacing="1" w:after="100" w:afterAutospacing="1"/>
        <w:contextualSpacing/>
      </w:pPr>
      <w:r>
        <w:t>i</w:t>
      </w:r>
      <w:r w:rsidR="00F35F21" w:rsidRPr="00F35F21">
        <w:t>nformați</w:t>
      </w:r>
      <w:r>
        <w:t>i legate</w:t>
      </w:r>
      <w:r w:rsidR="00F35F21" w:rsidRPr="00F35F21">
        <w:t xml:space="preserve"> </w:t>
      </w:r>
      <w:r>
        <w:t>de politicile și practicile care ar putea contribui la bunăstarea tinerilor.</w:t>
      </w:r>
    </w:p>
    <w:p w14:paraId="3A7265B2" w14:textId="0603625E" w:rsidR="00087249" w:rsidRPr="00087249" w:rsidRDefault="00F35F21" w:rsidP="00020B35">
      <w:pPr>
        <w:spacing w:before="100" w:beforeAutospacing="1" w:after="100" w:afterAutospacing="1" w:line="300" w:lineRule="atLeast"/>
        <w:contextualSpacing/>
      </w:pPr>
      <w:r w:rsidRPr="00F35F21">
        <w:t>Cel mai recent sondaj a fost realizat în</w:t>
      </w:r>
      <w:r w:rsidR="005B0DC8">
        <w:t>tre anii</w:t>
      </w:r>
      <w:r w:rsidRPr="00F35F21">
        <w:t xml:space="preserve"> 2017-2018 în 45 de țări din Europa și America de Nord</w:t>
      </w:r>
      <w:r>
        <w:t>.</w:t>
      </w:r>
    </w:p>
    <w:p w14:paraId="51B42765" w14:textId="01550E1E" w:rsidR="00087249" w:rsidRPr="00087249" w:rsidRDefault="00F35F21" w:rsidP="00020B35">
      <w:pPr>
        <w:spacing w:before="100" w:beforeAutospacing="1" w:after="100" w:afterAutospacing="1" w:line="300" w:lineRule="atLeast"/>
        <w:contextualSpacing/>
      </w:pPr>
      <w:r w:rsidRPr="00F35F21">
        <w:t>Primul sondaj HBSC a fost realizat în</w:t>
      </w:r>
      <w:r w:rsidR="005B0DC8">
        <w:t>tre anii</w:t>
      </w:r>
      <w:r w:rsidRPr="00F35F21">
        <w:t xml:space="preserve"> 1983–1984 în 5 țări</w:t>
      </w:r>
      <w:r>
        <w:t>.</w:t>
      </w:r>
      <w:r w:rsidR="00087249" w:rsidRPr="00087249">
        <w:rPr>
          <w:color w:val="FF0000"/>
        </w:rPr>
        <w:t xml:space="preserve">. </w:t>
      </w:r>
      <w:r w:rsidR="005B0DC8" w:rsidRPr="005B0DC8">
        <w:t>În prezent</w:t>
      </w:r>
      <w:r w:rsidR="005B0DC8">
        <w:rPr>
          <w:color w:val="FF0000"/>
        </w:rPr>
        <w:t xml:space="preserve"> </w:t>
      </w:r>
      <w:r w:rsidR="005B0DC8">
        <w:t xml:space="preserve">studiul </w:t>
      </w:r>
      <w:r w:rsidRPr="00F35F21">
        <w:t>include 50 de țări și regiuni di</w:t>
      </w:r>
      <w:r w:rsidR="005B0DC8">
        <w:t xml:space="preserve">n Europa și America de Nord, și </w:t>
      </w:r>
      <w:r w:rsidRPr="00F35F21">
        <w:t>peste 400 de cercetători în rețeaua internațională de cercetare HBSC</w:t>
      </w:r>
      <w:r w:rsidR="00087249" w:rsidRPr="00087249">
        <w:rPr>
          <w:color w:val="FF0000"/>
        </w:rPr>
        <w:t>.</w:t>
      </w:r>
      <w:r>
        <w:rPr>
          <w:color w:val="FF0000"/>
        </w:rPr>
        <w:t xml:space="preserve"> </w:t>
      </w:r>
      <w:r w:rsidRPr="00F35F21">
        <w:t>Studiul este finanțat la nivel național de fiecare dintre ță</w:t>
      </w:r>
      <w:r w:rsidR="00FE13B2">
        <w:t>rile și regiunile</w:t>
      </w:r>
      <w:r w:rsidRPr="00F35F21">
        <w:t xml:space="preserve"> membre.</w:t>
      </w:r>
    </w:p>
    <w:p w14:paraId="07581D58" w14:textId="452C9056" w:rsidR="00087249" w:rsidRPr="00087249" w:rsidRDefault="00F35F21" w:rsidP="00020B35">
      <w:pPr>
        <w:spacing w:before="100" w:beforeAutospacing="1" w:after="100" w:afterAutospacing="1" w:line="300" w:lineRule="atLeast"/>
        <w:contextualSpacing/>
      </w:pPr>
      <w:r w:rsidRPr="00F35F21">
        <w:t>HBSC se concentrează pe înțelegerea sănăt</w:t>
      </w:r>
      <w:r w:rsidR="00FE13B2">
        <w:t xml:space="preserve">ății tinerilor în context social - acasă, la școală, </w:t>
      </w:r>
      <w:r w:rsidRPr="00F35F21">
        <w:t>familia</w:t>
      </w:r>
      <w:r w:rsidR="00FE13B2">
        <w:t>l</w:t>
      </w:r>
      <w:r w:rsidRPr="00F35F21">
        <w:t xml:space="preserve"> și </w:t>
      </w:r>
      <w:r w:rsidR="00FE13B2">
        <w:t xml:space="preserve">cu </w:t>
      </w:r>
      <w:r w:rsidRPr="00F35F21">
        <w:t>prietenii</w:t>
      </w:r>
      <w:r w:rsidRPr="00F35F21">
        <w:rPr>
          <w:color w:val="FF0000"/>
        </w:rPr>
        <w:t>.</w:t>
      </w:r>
      <w:r>
        <w:rPr>
          <w:color w:val="FF0000"/>
        </w:rPr>
        <w:t xml:space="preserve"> </w:t>
      </w:r>
      <w:r w:rsidR="00087249" w:rsidRPr="00087249">
        <w:rPr>
          <w:color w:val="FF0000"/>
        </w:rPr>
        <w:t xml:space="preserve"> .</w:t>
      </w:r>
      <w:r>
        <w:rPr>
          <w:color w:val="FF0000"/>
        </w:rPr>
        <w:t xml:space="preserve"> </w:t>
      </w:r>
      <w:r w:rsidRPr="00F35F21">
        <w:t xml:space="preserve">Acesta își propune să îmbunătățească înțelegerea </w:t>
      </w:r>
      <w:r w:rsidR="00FE13B2">
        <w:t xml:space="preserve">modului în care </w:t>
      </w:r>
      <w:r w:rsidRPr="00F35F21">
        <w:t>factori</w:t>
      </w:r>
      <w:r w:rsidR="00FE13B2">
        <w:t xml:space="preserve">i </w:t>
      </w:r>
      <w:r w:rsidRPr="00F35F21">
        <w:t>individual</w:t>
      </w:r>
      <w:r w:rsidR="00FE13B2">
        <w:t>i</w:t>
      </w:r>
      <w:r w:rsidRPr="00F35F21">
        <w:t xml:space="preserve"> și colectiv</w:t>
      </w:r>
      <w:r w:rsidR="00FE13B2">
        <w:t>i</w:t>
      </w:r>
      <w:r w:rsidRPr="00F35F21">
        <w:t>, influențează sănătatea tinerilor pe parcursul adolescenței timpurii.</w:t>
      </w:r>
    </w:p>
    <w:p w14:paraId="404ABD86" w14:textId="77777777" w:rsidR="00370DA2" w:rsidRDefault="00570D51" w:rsidP="00370DA2">
      <w:pPr>
        <w:autoSpaceDE w:val="0"/>
        <w:autoSpaceDN w:val="0"/>
        <w:adjustRightInd w:val="0"/>
        <w:spacing w:after="0"/>
      </w:pPr>
      <w:hyperlink r:id="rId33" w:history="1">
        <w:r w:rsidR="00247380" w:rsidRPr="00247380">
          <w:rPr>
            <w:rStyle w:val="Hyperlink"/>
          </w:rPr>
          <w:t>https://www.who.int/europe/initiatives/health-behaviour-in-school-aged-children-(hbsc)-study</w:t>
        </w:r>
      </w:hyperlink>
      <w:r w:rsidR="00247380" w:rsidRPr="00247380">
        <w:t xml:space="preserve"> </w:t>
      </w:r>
    </w:p>
    <w:p w14:paraId="0E55A5AF" w14:textId="77777777" w:rsidR="006A74D6" w:rsidRDefault="006A74D6" w:rsidP="00370DA2">
      <w:pPr>
        <w:autoSpaceDE w:val="0"/>
        <w:autoSpaceDN w:val="0"/>
        <w:adjustRightInd w:val="0"/>
        <w:spacing w:after="0"/>
      </w:pPr>
      <w:r>
        <w:t>---------------------</w:t>
      </w:r>
    </w:p>
    <w:p w14:paraId="06C1E28D" w14:textId="77777777" w:rsidR="00020B35" w:rsidRDefault="00020B35" w:rsidP="00370DA2">
      <w:pPr>
        <w:autoSpaceDE w:val="0"/>
        <w:autoSpaceDN w:val="0"/>
        <w:adjustRightInd w:val="0"/>
        <w:spacing w:after="0"/>
      </w:pPr>
    </w:p>
    <w:p w14:paraId="68411B47" w14:textId="77777777" w:rsidR="00A667D2" w:rsidRDefault="00A667D2" w:rsidP="00B37A09"/>
    <w:p w14:paraId="7B578974" w14:textId="24C0619D" w:rsidR="00A667D2" w:rsidRDefault="00A667D2">
      <w:pPr>
        <w:spacing w:before="0" w:after="0"/>
        <w:jc w:val="left"/>
      </w:pPr>
      <w:r>
        <w:br w:type="page"/>
      </w:r>
    </w:p>
    <w:p w14:paraId="32C44C74" w14:textId="28D9D801" w:rsidR="000A3C42" w:rsidRPr="00106592" w:rsidRDefault="00106592" w:rsidP="00106592">
      <w:pPr>
        <w:pStyle w:val="Heading2"/>
        <w:spacing w:before="120" w:after="120"/>
        <w:rPr>
          <w:bdr w:val="none" w:sz="0" w:space="0" w:color="auto" w:frame="1"/>
        </w:rPr>
      </w:pPr>
      <w:bookmarkStart w:id="19" w:name="_Toc132812364"/>
      <w:r w:rsidRPr="00106592">
        <w:rPr>
          <w:bdr w:val="none" w:sz="0" w:space="0" w:color="auto" w:frame="1"/>
        </w:rPr>
        <w:lastRenderedPageBreak/>
        <w:t>Concluzii</w:t>
      </w:r>
      <w:bookmarkEnd w:id="19"/>
    </w:p>
    <w:p w14:paraId="0FBC5ACC" w14:textId="6429D8C7" w:rsidR="00F950F1" w:rsidRDefault="00F950F1" w:rsidP="00F950F1">
      <w:pPr>
        <w:pStyle w:val="ListParagraph"/>
        <w:ind w:left="0"/>
      </w:pPr>
      <w:r>
        <w:t>Există noi evidențe care sugerează că adolescenții și tinerii sunt mai susceptibili la addicție în comparație cu persoanele din grupe de vârstă mai mari și că cei mai mulți dintre fumători regeretă decizia de a începe să fumeze.</w:t>
      </w:r>
      <w:sdt>
        <w:sdtPr>
          <w:id w:val="-374162451"/>
          <w:citation/>
        </w:sdtPr>
        <w:sdtContent>
          <w:r>
            <w:fldChar w:fldCharType="begin"/>
          </w:r>
          <w:r>
            <w:rPr>
              <w:lang w:val="ro-RO"/>
            </w:rPr>
            <w:instrText xml:space="preserve"> CITATION Rei21 \l 1048 </w:instrText>
          </w:r>
          <w:r>
            <w:fldChar w:fldCharType="separate"/>
          </w:r>
          <w:r w:rsidR="00CE4424">
            <w:rPr>
              <w:noProof/>
              <w:lang w:val="ro-RO"/>
            </w:rPr>
            <w:t xml:space="preserve"> (Reitsma MB, Spatial, temporal, and demographic patterns in prevalence of smoking tobacco use and initiation among young people in 204 countries and territories, 1990-2019, 2021)</w:t>
          </w:r>
          <w:r>
            <w:fldChar w:fldCharType="end"/>
          </w:r>
        </w:sdtContent>
      </w:sdt>
    </w:p>
    <w:p w14:paraId="63074A90" w14:textId="1010A828" w:rsidR="00042E74" w:rsidRDefault="00106592" w:rsidP="00F950F1">
      <w:pPr>
        <w:pStyle w:val="ListParagraph"/>
        <w:ind w:left="0"/>
      </w:pPr>
      <w:r>
        <w:t xml:space="preserve">Prevenirea începerii fumatului rămâne una dintre strategiile cheie de control al epidemiei de fumat. Grupul țintă căruia trebuie să i se adreseze măsurile preventive este reprezentat de adolescenți. </w:t>
      </w:r>
      <w:r w:rsidR="00042E74">
        <w:t>Prevenirea începerii fumatului de către adolescenți, înainte de apariția adicției poate să conducă, pe termen lung la prevalențe mai mici ale fumatului la vârste ulterioare cu instituirea de modele sociale care promovează comportamentul de nefumător.</w:t>
      </w:r>
    </w:p>
    <w:p w14:paraId="3A99540F" w14:textId="5EDACF0C" w:rsidR="00A316C8" w:rsidRDefault="00A316C8" w:rsidP="00106592">
      <w:pPr>
        <w:pStyle w:val="ListParagraph"/>
        <w:ind w:left="0"/>
      </w:pPr>
      <w:r w:rsidRPr="00A316C8">
        <w:rPr>
          <w:b/>
          <w:bCs/>
        </w:rPr>
        <w:t>Grupul țintă principal</w:t>
      </w:r>
      <w:r>
        <w:t xml:space="preserve"> al campaniei de informare, educare, comunicare: adolescenți (grupa de vârstă 12-16 ani, copii din ciclul gimnazial)</w:t>
      </w:r>
    </w:p>
    <w:p w14:paraId="5E5B184A" w14:textId="378E01C6" w:rsidR="00A316C8" w:rsidRDefault="00A316C8" w:rsidP="00106592">
      <w:pPr>
        <w:pStyle w:val="ListParagraph"/>
        <w:ind w:left="0"/>
      </w:pPr>
      <w:r w:rsidRPr="00A316C8">
        <w:rPr>
          <w:b/>
          <w:bCs/>
        </w:rPr>
        <w:t>Grupuri țintă secundare</w:t>
      </w:r>
      <w:r>
        <w:t>:</w:t>
      </w:r>
    </w:p>
    <w:p w14:paraId="5DE6DEDF" w14:textId="467C7D11" w:rsidR="00A316C8" w:rsidRDefault="00A316C8" w:rsidP="00933A39">
      <w:pPr>
        <w:pStyle w:val="ListParagraph"/>
        <w:numPr>
          <w:ilvl w:val="0"/>
          <w:numId w:val="9"/>
        </w:numPr>
      </w:pPr>
      <w:r>
        <w:t>Părinți de adolescenți</w:t>
      </w:r>
    </w:p>
    <w:p w14:paraId="30D6E1AC" w14:textId="76BB373B" w:rsidR="00A316C8" w:rsidRDefault="00A316C8" w:rsidP="00933A39">
      <w:pPr>
        <w:pStyle w:val="ListParagraph"/>
        <w:numPr>
          <w:ilvl w:val="0"/>
          <w:numId w:val="9"/>
        </w:numPr>
      </w:pPr>
      <w:r>
        <w:t>Profesori din ciclul gimnazial</w:t>
      </w:r>
    </w:p>
    <w:p w14:paraId="64E80743" w14:textId="223D0CCB" w:rsidR="00A316C8" w:rsidRDefault="00A316C8" w:rsidP="00933A39">
      <w:pPr>
        <w:pStyle w:val="ListParagraph"/>
        <w:numPr>
          <w:ilvl w:val="0"/>
          <w:numId w:val="9"/>
        </w:numPr>
      </w:pPr>
      <w:r>
        <w:t>Personal medico-sanitar</w:t>
      </w:r>
    </w:p>
    <w:p w14:paraId="355DF5DD" w14:textId="77777777" w:rsidR="00A316C8" w:rsidRDefault="00A316C8" w:rsidP="00106592">
      <w:pPr>
        <w:pStyle w:val="ListParagraph"/>
        <w:ind w:left="0"/>
      </w:pPr>
      <w:r>
        <w:t>Campaniile de informare, educare, comunicare trebuie să fie însoțite de:</w:t>
      </w:r>
    </w:p>
    <w:p w14:paraId="7EB212FB" w14:textId="564C9564" w:rsidR="00A316C8" w:rsidRDefault="00A316C8" w:rsidP="00933A39">
      <w:pPr>
        <w:pStyle w:val="ListParagraph"/>
        <w:numPr>
          <w:ilvl w:val="0"/>
          <w:numId w:val="8"/>
        </w:numPr>
      </w:pPr>
      <w:r>
        <w:t>măsuri legislative care să se adreseze unui control mai bun al vânzării de țigări copiilor și adolescenților</w:t>
      </w:r>
      <w:r w:rsidR="00933A39">
        <w:t>: pedepse pentru vânzarea de tutun minorilor, măsuri de interzicere a vânzării de tutun în apropierea unităților școlare</w:t>
      </w:r>
    </w:p>
    <w:p w14:paraId="7772659F" w14:textId="75623A5F" w:rsidR="000A3C42" w:rsidRDefault="00A316C8" w:rsidP="000A3C42">
      <w:pPr>
        <w:pStyle w:val="ListParagraph"/>
        <w:numPr>
          <w:ilvl w:val="0"/>
          <w:numId w:val="8"/>
        </w:numPr>
      </w:pPr>
      <w:r>
        <w:t>măsuri legislative</w:t>
      </w:r>
      <w:r w:rsidR="00933A39">
        <w:t xml:space="preserve"> de reglementare a vânzării țigaretelor electronice</w:t>
      </w:r>
    </w:p>
    <w:p w14:paraId="5466566E" w14:textId="39D8DD8B" w:rsidR="00D82C73" w:rsidRDefault="00D82C73">
      <w:pPr>
        <w:spacing w:after="0"/>
      </w:pPr>
      <w:r>
        <w:br w:type="page"/>
      </w:r>
    </w:p>
    <w:bookmarkStart w:id="20" w:name="_Toc132812365" w:displacedByCustomXml="next"/>
    <w:sdt>
      <w:sdtPr>
        <w:rPr>
          <w:rFonts w:eastAsia="Times New Roman"/>
          <w:b w:val="0"/>
          <w:color w:val="auto"/>
          <w:sz w:val="22"/>
          <w:szCs w:val="22"/>
        </w:rPr>
        <w:id w:val="1149787339"/>
        <w:docPartObj>
          <w:docPartGallery w:val="Bibliographies"/>
          <w:docPartUnique/>
        </w:docPartObj>
      </w:sdtPr>
      <w:sdtContent>
        <w:p w14:paraId="71E2B0CC" w14:textId="10EDD2C3" w:rsidR="00D82C73" w:rsidRDefault="00D82C73">
          <w:pPr>
            <w:pStyle w:val="Heading1"/>
          </w:pPr>
          <w:r>
            <w:t>Bibliogra</w:t>
          </w:r>
          <w:r w:rsidR="00CE4424">
            <w:t>fie</w:t>
          </w:r>
          <w:bookmarkEnd w:id="20"/>
        </w:p>
        <w:sdt>
          <w:sdtPr>
            <w:id w:val="111145805"/>
            <w:bibliography/>
          </w:sdtPr>
          <w:sdtContent>
            <w:p w14:paraId="3A7F8F96" w14:textId="77777777" w:rsidR="00CE4424" w:rsidRDefault="00D82C73" w:rsidP="00CE4424">
              <w:pPr>
                <w:pStyle w:val="Bibliography"/>
                <w:ind w:left="720" w:hanging="720"/>
                <w:rPr>
                  <w:noProof/>
                  <w:sz w:val="24"/>
                  <w:szCs w:val="24"/>
                </w:rPr>
              </w:pPr>
              <w:r>
                <w:fldChar w:fldCharType="begin"/>
              </w:r>
              <w:r>
                <w:instrText xml:space="preserve"> BIBLIOGRAPHY </w:instrText>
              </w:r>
              <w:r>
                <w:fldChar w:fldCharType="separate"/>
              </w:r>
              <w:r w:rsidR="00CE4424">
                <w:rPr>
                  <w:noProof/>
                </w:rPr>
                <w:t xml:space="preserve">American Cancer Society and Vital Strategies. (2018). </w:t>
              </w:r>
              <w:r w:rsidR="00CE4424">
                <w:rPr>
                  <w:i/>
                  <w:iCs/>
                  <w:noProof/>
                </w:rPr>
                <w:t>Health effects</w:t>
              </w:r>
              <w:r w:rsidR="00CE4424">
                <w:rPr>
                  <w:noProof/>
                </w:rPr>
                <w:t>. Retrieved from The tobacco atlas.</w:t>
              </w:r>
            </w:p>
            <w:p w14:paraId="4AB44C20" w14:textId="77777777" w:rsidR="00CE4424" w:rsidRDefault="00CE4424" w:rsidP="00CE4424">
              <w:pPr>
                <w:pStyle w:val="Bibliography"/>
                <w:ind w:left="720" w:hanging="720"/>
                <w:rPr>
                  <w:noProof/>
                </w:rPr>
              </w:pPr>
              <w:r>
                <w:rPr>
                  <w:noProof/>
                </w:rPr>
                <w:t xml:space="preserve">Bhalerao A, S. F. (2019). Public Health Policies on E-Cigarettes. . </w:t>
              </w:r>
              <w:r>
                <w:rPr>
                  <w:i/>
                  <w:iCs/>
                  <w:noProof/>
                </w:rPr>
                <w:t>Curr Cardiol Rep</w:t>
              </w:r>
              <w:r>
                <w:rPr>
                  <w:noProof/>
                </w:rPr>
                <w:t>, Bhalerao A, Sivandzade F, Archie SR, Cucullo L. Public Healt21(10):111. doi: 10.1007/s11886-019-1204-y. PMID: 31463564; PMCID: PMC6713696.</w:t>
              </w:r>
            </w:p>
            <w:p w14:paraId="01D95147" w14:textId="77777777" w:rsidR="00CE4424" w:rsidRDefault="00CE4424" w:rsidP="00CE4424">
              <w:pPr>
                <w:pStyle w:val="Bibliography"/>
                <w:ind w:left="720" w:hanging="720"/>
                <w:rPr>
                  <w:noProof/>
                </w:rPr>
              </w:pPr>
              <w:r>
                <w:rPr>
                  <w:noProof/>
                </w:rPr>
                <w:t xml:space="preserve">ESPAD Group. (2020). </w:t>
              </w:r>
              <w:r>
                <w:rPr>
                  <w:i/>
                  <w:iCs/>
                  <w:noProof/>
                </w:rPr>
                <w:t>ESPAD Report 2019: Results from the European School Survey Project on Alcohol and Other Drugs.</w:t>
              </w:r>
              <w:r>
                <w:rPr>
                  <w:noProof/>
                </w:rPr>
                <w:t xml:space="preserve"> Luxembourg: EMCDDA Joint Publications, Publications Office of the European Union. Retrieved from http://www.espad.org/sites/espad.org/files/2020.3878_EN_04.pdf</w:t>
              </w:r>
            </w:p>
            <w:p w14:paraId="090FC89E" w14:textId="77777777" w:rsidR="00CE4424" w:rsidRDefault="00CE4424" w:rsidP="00CE4424">
              <w:pPr>
                <w:pStyle w:val="Bibliography"/>
                <w:ind w:left="720" w:hanging="720"/>
                <w:rPr>
                  <w:noProof/>
                </w:rPr>
              </w:pPr>
              <w:r>
                <w:rPr>
                  <w:noProof/>
                </w:rPr>
                <w:t xml:space="preserve">European Commission. (2022, April 08). </w:t>
              </w:r>
              <w:r>
                <w:rPr>
                  <w:i/>
                  <w:iCs/>
                  <w:noProof/>
                </w:rPr>
                <w:t>Public health-Tobacco-Overview</w:t>
              </w:r>
              <w:r>
                <w:rPr>
                  <w:noProof/>
                </w:rPr>
                <w:t>. Retrieved from European Commission- Public Health: https://health.ec.europa.eu/tobacco/overview_en</w:t>
              </w:r>
            </w:p>
            <w:p w14:paraId="3D90153D" w14:textId="77777777" w:rsidR="00CE4424" w:rsidRDefault="00CE4424" w:rsidP="00CE4424">
              <w:pPr>
                <w:pStyle w:val="Bibliography"/>
                <w:ind w:left="720" w:hanging="720"/>
                <w:rPr>
                  <w:noProof/>
                </w:rPr>
              </w:pPr>
              <w:r>
                <w:rPr>
                  <w:noProof/>
                </w:rPr>
                <w:t xml:space="preserve">Fried ND, G. J. (2020 Dec 1). Heat-not-burn tobacco products: an emerging threat to cardiovascular health. </w:t>
              </w:r>
              <w:r>
                <w:rPr>
                  <w:i/>
                  <w:iCs/>
                  <w:noProof/>
                </w:rPr>
                <w:t>Am J Physiol Heart Circ Physiol</w:t>
              </w:r>
              <w:r>
                <w:rPr>
                  <w:noProof/>
                </w:rPr>
                <w:t>, 319(6):H1234-H1239. doi: 10.1152/ajpheart.00708.2020. Epub 2020 Oct 2. PMID: 33006919; PMCID: PMC7792702.</w:t>
              </w:r>
            </w:p>
            <w:p w14:paraId="5B8BACB3" w14:textId="77777777" w:rsidR="00CE4424" w:rsidRDefault="00CE4424" w:rsidP="00CE4424">
              <w:pPr>
                <w:pStyle w:val="Bibliography"/>
                <w:ind w:left="720" w:hanging="720"/>
                <w:rPr>
                  <w:noProof/>
                </w:rPr>
              </w:pPr>
              <w:r>
                <w:rPr>
                  <w:noProof/>
                </w:rPr>
                <w:t xml:space="preserve">Giovacchini CX, C. A. (2022 Nov). Electronic Cigarettes: A Pro-Con Review of the Current Literature. . </w:t>
              </w:r>
              <w:r>
                <w:rPr>
                  <w:i/>
                  <w:iCs/>
                  <w:noProof/>
                </w:rPr>
                <w:t>J Allergy Clin Immunol Pract</w:t>
              </w:r>
              <w:r>
                <w:rPr>
                  <w:noProof/>
                </w:rPr>
                <w:t>, Giovacchini CX, Crotty Alexander LE, Que LG. Electronic Cigarettes: A Pro-Con Review of the Curre10(11):2843-2851. doi: 10.1016/j.jaip.2022.07.009. Epub 2022 Jul 21. PMID: 35872217.</w:t>
              </w:r>
            </w:p>
            <w:p w14:paraId="186D40FF" w14:textId="77777777" w:rsidR="00CE4424" w:rsidRDefault="00CE4424" w:rsidP="00CE4424">
              <w:pPr>
                <w:pStyle w:val="Bibliography"/>
                <w:ind w:left="720" w:hanging="720"/>
                <w:rPr>
                  <w:noProof/>
                </w:rPr>
              </w:pPr>
              <w:r>
                <w:rPr>
                  <w:noProof/>
                </w:rPr>
                <w:t xml:space="preserve">Hikisz P, J. D. (2023 Mar 11). The Tobacco Smoke Component, Acrolein, as a Major Culprit in Lung Diseases and Respiratory Cancers: Molecular Mechanisms of Acrolein Cytotoxic Activity. </w:t>
              </w:r>
              <w:r>
                <w:rPr>
                  <w:i/>
                  <w:iCs/>
                  <w:noProof/>
                </w:rPr>
                <w:t>Cells.</w:t>
              </w:r>
              <w:r>
                <w:rPr>
                  <w:noProof/>
                </w:rPr>
                <w:t>, 12(6):879. doi: 10.3390/cells12060879. PMID: 36980220; PMCID: PMC10047238.</w:t>
              </w:r>
            </w:p>
            <w:p w14:paraId="326334AE" w14:textId="77777777" w:rsidR="00CE4424" w:rsidRDefault="00CE4424" w:rsidP="00CE4424">
              <w:pPr>
                <w:pStyle w:val="Bibliography"/>
                <w:ind w:left="720" w:hanging="720"/>
                <w:rPr>
                  <w:noProof/>
                </w:rPr>
              </w:pPr>
              <w:r>
                <w:rPr>
                  <w:noProof/>
                </w:rPr>
                <w:t xml:space="preserve">Institute of Clinical Physiology, National Research Council of Italy. (2023, April 12). </w:t>
              </w:r>
              <w:r>
                <w:rPr>
                  <w:i/>
                  <w:iCs/>
                  <w:noProof/>
                </w:rPr>
                <w:t>European School Survey Project on Alcohol and Other Drugs</w:t>
              </w:r>
              <w:r>
                <w:rPr>
                  <w:noProof/>
                </w:rPr>
                <w:t>. Retrieved from ESPAD: https://data.espad.org/</w:t>
              </w:r>
            </w:p>
            <w:p w14:paraId="22E8B9F9" w14:textId="77777777" w:rsidR="00CE4424" w:rsidRDefault="00CE4424" w:rsidP="00CE4424">
              <w:pPr>
                <w:pStyle w:val="Bibliography"/>
                <w:ind w:left="720" w:hanging="720"/>
                <w:rPr>
                  <w:noProof/>
                </w:rPr>
              </w:pPr>
              <w:r>
                <w:rPr>
                  <w:noProof/>
                </w:rPr>
                <w:t xml:space="preserve">Institute of Clinical Physiology, National Research Council of Italy. (2023, April 12). </w:t>
              </w:r>
              <w:r>
                <w:rPr>
                  <w:i/>
                  <w:iCs/>
                  <w:noProof/>
                </w:rPr>
                <w:t xml:space="preserve">Overview of Cigarettes in 2019 in Romania </w:t>
              </w:r>
              <w:r>
                <w:rPr>
                  <w:noProof/>
                </w:rPr>
                <w:t>. Retrieved from European School Survey Project on Alcohol and Other Drugs - prevalence in lifetime: https://data.espad.org/</w:t>
              </w:r>
            </w:p>
            <w:p w14:paraId="5533593A" w14:textId="77777777" w:rsidR="00CE4424" w:rsidRDefault="00CE4424" w:rsidP="00CE4424">
              <w:pPr>
                <w:pStyle w:val="Bibliography"/>
                <w:ind w:left="720" w:hanging="720"/>
                <w:rPr>
                  <w:noProof/>
                </w:rPr>
              </w:pPr>
              <w:r>
                <w:rPr>
                  <w:noProof/>
                </w:rPr>
                <w:t xml:space="preserve">Institutul Național de Sănătate Publică. (2022). </w:t>
              </w:r>
              <w:r>
                <w:rPr>
                  <w:i/>
                  <w:iCs/>
                  <w:noProof/>
                </w:rPr>
                <w:t>Metodologie evaluarea comportamentelor la risc- studiu YRBSS.</w:t>
              </w:r>
              <w:r>
                <w:rPr>
                  <w:noProof/>
                </w:rPr>
                <w:t xml:space="preserve"> București: Institutul Național de Sănătate publică. Retrieved from https://insp.gov.ro/download/metodologie-comportamente-cu-risc-yrbss-2022-pdf/</w:t>
              </w:r>
            </w:p>
            <w:p w14:paraId="2DF2E2C2" w14:textId="77777777" w:rsidR="00CE4424" w:rsidRDefault="00CE4424" w:rsidP="00CE4424">
              <w:pPr>
                <w:pStyle w:val="Bibliography"/>
                <w:ind w:left="720" w:hanging="720"/>
                <w:rPr>
                  <w:noProof/>
                </w:rPr>
              </w:pPr>
              <w:r>
                <w:rPr>
                  <w:noProof/>
                </w:rPr>
                <w:t xml:space="preserve">Institutul Național de Sănătate Publică, Totem, Organizația Mondială a Sănătății. (2018). </w:t>
              </w:r>
              <w:r>
                <w:rPr>
                  <w:i/>
                  <w:iCs/>
                  <w:noProof/>
                </w:rPr>
                <w:t>Global Adult Tobacco Survey - România.</w:t>
              </w:r>
              <w:r>
                <w:rPr>
                  <w:noProof/>
                </w:rPr>
                <w:t xml:space="preserve"> Bucharest: Institutul Național de Sănătate Publică.</w:t>
              </w:r>
            </w:p>
            <w:p w14:paraId="59F1FA67" w14:textId="77777777" w:rsidR="00CE4424" w:rsidRDefault="00CE4424" w:rsidP="00CE4424">
              <w:pPr>
                <w:pStyle w:val="Bibliography"/>
                <w:ind w:left="720" w:hanging="720"/>
                <w:rPr>
                  <w:noProof/>
                </w:rPr>
              </w:pPr>
              <w:r>
                <w:rPr>
                  <w:noProof/>
                </w:rPr>
                <w:t xml:space="preserve">International Agency for Research on Cancer, World Health Organization. (2023, April 10). </w:t>
              </w:r>
              <w:r>
                <w:rPr>
                  <w:i/>
                  <w:iCs/>
                  <w:noProof/>
                </w:rPr>
                <w:t>Codul European Impotriva Cancerului</w:t>
              </w:r>
              <w:r>
                <w:rPr>
                  <w:noProof/>
                </w:rPr>
                <w:t>. Retrieved from Poate tutunul s[ cauzeze cancer? C\t la sut[ dintre cazurile de cancer sunt cauzate de fumat: https://cancer-code-europe.iarc.fr/index.php/ro/12-modalitati/tutun/3307-poate-tutunul-sa-cauzeze-cancer-cat-la-suta-dintre-cazurile-de-cancer-sunt-cauzate-de-fumat</w:t>
              </w:r>
            </w:p>
            <w:p w14:paraId="332017A9" w14:textId="77777777" w:rsidR="00CE4424" w:rsidRDefault="00CE4424" w:rsidP="00CE4424">
              <w:pPr>
                <w:pStyle w:val="Bibliography"/>
                <w:ind w:left="720" w:hanging="720"/>
                <w:rPr>
                  <w:noProof/>
                </w:rPr>
              </w:pPr>
              <w:r>
                <w:rPr>
                  <w:noProof/>
                </w:rPr>
                <w:t xml:space="preserve">OECD . (2023). </w:t>
              </w:r>
              <w:r>
                <w:rPr>
                  <w:i/>
                  <w:iCs/>
                  <w:noProof/>
                </w:rPr>
                <w:t>Profil de țară privind cancerul: România 2023, EU Country Cancer Profiles, OECD Publishing.</w:t>
              </w:r>
              <w:r>
                <w:rPr>
                  <w:noProof/>
                </w:rPr>
                <w:t xml:space="preserve"> Paris: , https://doi.org/10.1787/20726aa6-ro.</w:t>
              </w:r>
            </w:p>
            <w:p w14:paraId="71388ADA" w14:textId="77777777" w:rsidR="00CE4424" w:rsidRDefault="00CE4424" w:rsidP="00CE4424">
              <w:pPr>
                <w:pStyle w:val="Bibliography"/>
                <w:ind w:left="720" w:hanging="720"/>
                <w:rPr>
                  <w:noProof/>
                </w:rPr>
              </w:pPr>
              <w:r>
                <w:rPr>
                  <w:noProof/>
                </w:rPr>
                <w:t xml:space="preserve">OECD/European Union. (Paris). </w:t>
              </w:r>
              <w:r>
                <w:rPr>
                  <w:i/>
                  <w:iCs/>
                  <w:noProof/>
                </w:rPr>
                <w:t>Health at a Glance:Europe 2022:State of Health in the EU Cycle.</w:t>
              </w:r>
              <w:r>
                <w:rPr>
                  <w:noProof/>
                </w:rPr>
                <w:t xml:space="preserve"> Paris: OECD Publishing.</w:t>
              </w:r>
            </w:p>
            <w:p w14:paraId="2133D2F2" w14:textId="77777777" w:rsidR="00CE4424" w:rsidRDefault="00CE4424" w:rsidP="00CE4424">
              <w:pPr>
                <w:pStyle w:val="Bibliography"/>
                <w:ind w:left="720" w:hanging="720"/>
                <w:rPr>
                  <w:noProof/>
                </w:rPr>
              </w:pPr>
              <w:r>
                <w:rPr>
                  <w:noProof/>
                </w:rPr>
                <w:t xml:space="preserve">Reitsma MB, F. L. (2021). Spatial, temporal, and demographic patterns in prevalence of smoking tobacco use and initiation among young people in 204 countries and territories, 1990-2019. </w:t>
              </w:r>
              <w:r>
                <w:rPr>
                  <w:i/>
                  <w:iCs/>
                  <w:noProof/>
                </w:rPr>
                <w:t>Lancet Public Health. 2021 Jul;6(7</w:t>
              </w:r>
              <w:r>
                <w:rPr>
                  <w:noProof/>
                </w:rPr>
                <w:t>, 6(7):e472-e481. doi: 10.1016/S2468-2667(21)00102-X. Epub 2021 May 28. PMID: 34051921; PMCID: PMC8251503.</w:t>
              </w:r>
            </w:p>
            <w:p w14:paraId="5C304A3B" w14:textId="77777777" w:rsidR="00CE4424" w:rsidRDefault="00CE4424" w:rsidP="00CE4424">
              <w:pPr>
                <w:pStyle w:val="Bibliography"/>
                <w:ind w:left="720" w:hanging="720"/>
                <w:rPr>
                  <w:noProof/>
                </w:rPr>
              </w:pPr>
              <w:r>
                <w:rPr>
                  <w:noProof/>
                </w:rPr>
                <w:lastRenderedPageBreak/>
                <w:t xml:space="preserve">Reitsma MB, F. L. (2021). Spatial, temporal, and demographic patterns in prevalence of smoking tobacco use and initiation among young people in 204 countries and territories, 1990–2019. publish. </w:t>
              </w:r>
              <w:r>
                <w:rPr>
                  <w:i/>
                  <w:iCs/>
                  <w:noProof/>
                </w:rPr>
                <w:t>Lancet Public Health</w:t>
              </w:r>
              <w:r>
                <w:rPr>
                  <w:noProof/>
                </w:rPr>
                <w:t>. Retrieved from https://www.healthdata.org/infographic/preventing-new-smokers-key-controlling-tobacco-epidemic: Institute of Health Metrics and Evaluation</w:t>
              </w:r>
            </w:p>
            <w:p w14:paraId="439C9BBD" w14:textId="77777777" w:rsidR="00CE4424" w:rsidRDefault="00CE4424" w:rsidP="00CE4424">
              <w:pPr>
                <w:pStyle w:val="Bibliography"/>
                <w:ind w:left="720" w:hanging="720"/>
                <w:rPr>
                  <w:noProof/>
                </w:rPr>
              </w:pPr>
              <w:r>
                <w:rPr>
                  <w:noProof/>
                </w:rPr>
                <w:t xml:space="preserve">Riccardo Polosa, T. C. (2022 November). A Close Look at Vaping in Adolescents and Young Adults in the United States. </w:t>
              </w:r>
              <w:r>
                <w:rPr>
                  <w:i/>
                  <w:iCs/>
                  <w:noProof/>
                </w:rPr>
                <w:t>The Journal of Allergy and Clinical Immunology: in paractice</w:t>
              </w:r>
              <w:r>
                <w:rPr>
                  <w:noProof/>
                </w:rPr>
                <w:t>, p2831-2842, volume 10, issue 11.</w:t>
              </w:r>
            </w:p>
            <w:p w14:paraId="6A0F877C" w14:textId="77777777" w:rsidR="00CE4424" w:rsidRDefault="00CE4424" w:rsidP="00CE4424">
              <w:pPr>
                <w:pStyle w:val="Bibliography"/>
                <w:ind w:left="720" w:hanging="720"/>
                <w:rPr>
                  <w:noProof/>
                </w:rPr>
              </w:pPr>
              <w:r>
                <w:rPr>
                  <w:noProof/>
                </w:rPr>
                <w:t>Seiler-Ramadas R, S. I. (2021 Oct). eiler-Ramadas R, Sandner I, Haider S, Grabovac I, Dorner TE. Health effects of electronic cigarette (e</w:t>
              </w:r>
              <w:r>
                <w:rPr>
                  <w:noProof/>
                </w:rPr>
                <w:noBreakHyphen/>
                <w:t xml:space="preserve">cigarette) use on organ systems and its implications for public health. Wien Klin Wochenschr. 2021 Oct;133(19-20):1020-1027. doi: 10.1007/s00508-020-017. </w:t>
              </w:r>
              <w:r>
                <w:rPr>
                  <w:i/>
                  <w:iCs/>
                  <w:noProof/>
                </w:rPr>
                <w:t>Wien Klin Wochenschr.</w:t>
              </w:r>
              <w:r>
                <w:rPr>
                  <w:noProof/>
                </w:rPr>
                <w:t>, 133(19-20):1020-1027. doi: 10.1007/s00508-020-017.</w:t>
              </w:r>
            </w:p>
            <w:p w14:paraId="70CD9A7A" w14:textId="77777777" w:rsidR="00CE4424" w:rsidRDefault="00CE4424" w:rsidP="00CE4424">
              <w:pPr>
                <w:pStyle w:val="Bibliography"/>
                <w:ind w:left="720" w:hanging="720"/>
                <w:rPr>
                  <w:noProof/>
                </w:rPr>
              </w:pPr>
              <w:r>
                <w:rPr>
                  <w:noProof/>
                </w:rPr>
                <w:t xml:space="preserve">The Institute for Health Metrics and Evaluation (IHME) . (2021). </w:t>
              </w:r>
              <w:r>
                <w:rPr>
                  <w:i/>
                  <w:iCs/>
                  <w:noProof/>
                </w:rPr>
                <w:t>The Lancet&amp;The lancet Public Health: Latest global Data finds nearly 8 million deaths from smoking in 2019, and 90% of new smokers addicted by age 25.</w:t>
              </w:r>
              <w:r>
                <w:rPr>
                  <w:noProof/>
                </w:rPr>
                <w:t xml:space="preserve"> </w:t>
              </w:r>
            </w:p>
            <w:p w14:paraId="1AAC32E2" w14:textId="77777777" w:rsidR="00CE4424" w:rsidRDefault="00CE4424" w:rsidP="00CE4424">
              <w:pPr>
                <w:pStyle w:val="Bibliography"/>
                <w:ind w:left="720" w:hanging="720"/>
                <w:rPr>
                  <w:noProof/>
                </w:rPr>
              </w:pPr>
              <w:r>
                <w:rPr>
                  <w:i/>
                  <w:iCs/>
                  <w:noProof/>
                </w:rPr>
                <w:t>The Tobacco Atlas</w:t>
              </w:r>
              <w:r>
                <w:rPr>
                  <w:noProof/>
                </w:rPr>
                <w:t>. (2023, April 10). Retrieved from Challenge - Health Effects: https://tobaccoatlas.org/challenges/health-effects/</w:t>
              </w:r>
            </w:p>
            <w:p w14:paraId="5B28C59E" w14:textId="77777777" w:rsidR="00CE4424" w:rsidRDefault="00CE4424" w:rsidP="00CE4424">
              <w:pPr>
                <w:pStyle w:val="Bibliography"/>
                <w:ind w:left="720" w:hanging="720"/>
                <w:rPr>
                  <w:noProof/>
                </w:rPr>
              </w:pPr>
              <w:r>
                <w:rPr>
                  <w:noProof/>
                </w:rPr>
                <w:t xml:space="preserve">Vital Strategies and Tobacconomics at the University of Illinois Chicago. (2021, Last updated: May 2022). </w:t>
              </w:r>
              <w:r>
                <w:rPr>
                  <w:i/>
                  <w:iCs/>
                  <w:noProof/>
                </w:rPr>
                <w:t>Health Effects | Tobacco Atlas. .</w:t>
              </w:r>
              <w:r>
                <w:rPr>
                  <w:noProof/>
                </w:rPr>
                <w:t xml:space="preserve"> https://tobaccoatlas.org/challenges/health-effects/, Health Effects | Tobacco Atlas. .</w:t>
              </w:r>
            </w:p>
            <w:p w14:paraId="46321D1C" w14:textId="77777777" w:rsidR="00CE4424" w:rsidRDefault="00CE4424" w:rsidP="00CE4424">
              <w:pPr>
                <w:pStyle w:val="Bibliography"/>
                <w:ind w:left="720" w:hanging="720"/>
                <w:rPr>
                  <w:noProof/>
                </w:rPr>
              </w:pPr>
              <w:r>
                <w:rPr>
                  <w:noProof/>
                </w:rPr>
                <w:t xml:space="preserve">World Health Organization. (2020). </w:t>
              </w:r>
              <w:r>
                <w:rPr>
                  <w:i/>
                  <w:iCs/>
                  <w:noProof/>
                </w:rPr>
                <w:t>Heated Tobacco Products- a brief.</w:t>
              </w:r>
              <w:r>
                <w:rPr>
                  <w:noProof/>
                </w:rPr>
                <w:t xml:space="preserve"> Copenhagen, Denmark: World health Organization- Regional Office for Europe.</w:t>
              </w:r>
            </w:p>
            <w:p w14:paraId="0B93856E" w14:textId="77777777" w:rsidR="00CE4424" w:rsidRDefault="00CE4424" w:rsidP="00CE4424">
              <w:pPr>
                <w:pStyle w:val="Bibliography"/>
                <w:ind w:left="720" w:hanging="720"/>
                <w:rPr>
                  <w:noProof/>
                </w:rPr>
              </w:pPr>
              <w:r>
                <w:rPr>
                  <w:noProof/>
                </w:rPr>
                <w:t xml:space="preserve">World Health Organization. (2021 July). </w:t>
              </w:r>
              <w:r>
                <w:rPr>
                  <w:i/>
                  <w:iCs/>
                  <w:noProof/>
                </w:rPr>
                <w:t>WHO Report on the global tobacco epidemic 2021: addressing new and emerging products.</w:t>
              </w:r>
              <w:r>
                <w:rPr>
                  <w:noProof/>
                </w:rPr>
                <w:t xml:space="preserve"> Geneva: World Health Organization. Retrieved from https://www.who.int/publications/i/item/9789240032095</w:t>
              </w:r>
            </w:p>
            <w:p w14:paraId="357280AA" w14:textId="77777777" w:rsidR="00CE4424" w:rsidRDefault="00CE4424" w:rsidP="00CE4424">
              <w:pPr>
                <w:pStyle w:val="Bibliography"/>
                <w:ind w:left="720" w:hanging="720"/>
                <w:rPr>
                  <w:noProof/>
                </w:rPr>
              </w:pPr>
              <w:r>
                <w:rPr>
                  <w:noProof/>
                </w:rPr>
                <w:t xml:space="preserve">World Health Organization. (2023, April 11). </w:t>
              </w:r>
              <w:r>
                <w:rPr>
                  <w:i/>
                  <w:iCs/>
                  <w:noProof/>
                </w:rPr>
                <w:t>Tobacco - Overview</w:t>
              </w:r>
              <w:r>
                <w:rPr>
                  <w:noProof/>
                </w:rPr>
                <w:t>. Retrieved from Health Topics: https://www.who.int/health-topics/tobacco#tab=tab_1</w:t>
              </w:r>
            </w:p>
            <w:p w14:paraId="04BEB9FA" w14:textId="77777777" w:rsidR="00CE4424" w:rsidRDefault="00CE4424" w:rsidP="00CE4424">
              <w:pPr>
                <w:pStyle w:val="Bibliography"/>
                <w:ind w:left="720" w:hanging="720"/>
                <w:rPr>
                  <w:noProof/>
                </w:rPr>
              </w:pPr>
              <w:r>
                <w:rPr>
                  <w:noProof/>
                </w:rPr>
                <w:t xml:space="preserve">World Health Organization -Regional Office for Europe. (2019). </w:t>
              </w:r>
              <w:r>
                <w:rPr>
                  <w:i/>
                  <w:iCs/>
                  <w:noProof/>
                </w:rPr>
                <w:t>European Tobacco use- Trends Report 2019.</w:t>
              </w:r>
              <w:r>
                <w:rPr>
                  <w:noProof/>
                </w:rPr>
                <w:t xml:space="preserve"> Copenhagen: WHO Regional Office for Europe. Retrieved from https://www.euro.who.int/__data/assets/pdf_file/0009/402777/Tobacco-Trends-Report-ENG-WEB.pdf</w:t>
              </w:r>
            </w:p>
            <w:p w14:paraId="20A57A85" w14:textId="31253D1E" w:rsidR="00D82C73" w:rsidRDefault="00CE4424" w:rsidP="00CE4424">
              <w:pPr>
                <w:pStyle w:val="Bibliography"/>
                <w:ind w:left="720" w:hanging="720"/>
              </w:pPr>
              <w:r>
                <w:rPr>
                  <w:noProof/>
                </w:rPr>
                <w:t xml:space="preserve">Znyk M, J. J. (2021 Jun 21). Exposure to Heated Tobacco Products and Adverse Health Effects, a Systematic Review. </w:t>
              </w:r>
              <w:r>
                <w:rPr>
                  <w:i/>
                  <w:iCs/>
                  <w:noProof/>
                </w:rPr>
                <w:t>Int J Environ Res Public Health</w:t>
              </w:r>
              <w:r>
                <w:rPr>
                  <w:noProof/>
                </w:rPr>
                <w:t>, Znyk M, Jurewicz J, Kaleta D. Exposure to Heated Tobacco Products and Adverse Health Effects, a Systemati18(12):6651. doi: 10.3390/ijerph18126651. PMID: 34205612; PMCID: PMC8296358.</w:t>
              </w:r>
              <w:r w:rsidR="00D82C73">
                <w:rPr>
                  <w:b/>
                  <w:bCs/>
                  <w:noProof/>
                </w:rPr>
                <w:fldChar w:fldCharType="end"/>
              </w:r>
            </w:p>
          </w:sdtContent>
        </w:sdt>
      </w:sdtContent>
    </w:sdt>
    <w:p w14:paraId="4FB80259" w14:textId="77777777" w:rsidR="00D82C73" w:rsidRDefault="00D82C73" w:rsidP="00D82C73"/>
    <w:sectPr w:rsidR="00D82C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54E33" w14:textId="77777777" w:rsidR="007F2D69" w:rsidRDefault="007F2D69" w:rsidP="00F83408">
      <w:pPr>
        <w:spacing w:after="0"/>
      </w:pPr>
      <w:r>
        <w:separator/>
      </w:r>
    </w:p>
  </w:endnote>
  <w:endnote w:type="continuationSeparator" w:id="0">
    <w:p w14:paraId="782F95E3" w14:textId="77777777" w:rsidR="007F2D69" w:rsidRDefault="007F2D69" w:rsidP="00F834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ernina Sans">
    <w:altName w:val="Arial"/>
    <w:panose1 w:val="00000000000000000000"/>
    <w:charset w:val="EE"/>
    <w:family w:val="swiss"/>
    <w:notTrueType/>
    <w:pitch w:val="default"/>
    <w:sig w:usb0="00000001" w:usb1="00000000" w:usb2="00000000" w:usb3="00000000" w:csb0="00000003" w:csb1="00000000"/>
  </w:font>
  <w:font w:name="Trivia Sans Book">
    <w:altName w:val="Calibri"/>
    <w:panose1 w:val="00000000000000000000"/>
    <w:charset w:val="00"/>
    <w:family w:val="swiss"/>
    <w:notTrueType/>
    <w:pitch w:val="default"/>
    <w:sig w:usb0="00000003" w:usb1="00000000" w:usb2="00000000" w:usb3="00000000" w:csb0="00000001" w:csb1="00000000"/>
  </w:font>
  <w:font w:name="Shaker 2 Lancet">
    <w:altName w:val="Shaker 2 Lance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SansUnicode">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B2D14" w14:textId="77777777" w:rsidR="007F2D69" w:rsidRDefault="007F2D69" w:rsidP="00F83408">
      <w:pPr>
        <w:spacing w:after="0"/>
      </w:pPr>
      <w:r>
        <w:separator/>
      </w:r>
    </w:p>
  </w:footnote>
  <w:footnote w:type="continuationSeparator" w:id="0">
    <w:p w14:paraId="7478077A" w14:textId="77777777" w:rsidR="007F2D69" w:rsidRDefault="007F2D69" w:rsidP="00F8340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5391"/>
    <w:multiLevelType w:val="multilevel"/>
    <w:tmpl w:val="67C0B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9225B"/>
    <w:multiLevelType w:val="hybridMultilevel"/>
    <w:tmpl w:val="463A7CD6"/>
    <w:lvl w:ilvl="0" w:tplc="C71E847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C44854"/>
    <w:multiLevelType w:val="multilevel"/>
    <w:tmpl w:val="29A0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24C60"/>
    <w:multiLevelType w:val="hybridMultilevel"/>
    <w:tmpl w:val="494E8F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F792535"/>
    <w:multiLevelType w:val="hybridMultilevel"/>
    <w:tmpl w:val="16F6208E"/>
    <w:lvl w:ilvl="0" w:tplc="C71E8472">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346E1F6C"/>
    <w:multiLevelType w:val="hybridMultilevel"/>
    <w:tmpl w:val="2DDA6E36"/>
    <w:lvl w:ilvl="0" w:tplc="C71E847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6FE733A"/>
    <w:multiLevelType w:val="hybridMultilevel"/>
    <w:tmpl w:val="9A66BDB8"/>
    <w:lvl w:ilvl="0" w:tplc="C71E847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95C423F"/>
    <w:multiLevelType w:val="hybridMultilevel"/>
    <w:tmpl w:val="ACE4547A"/>
    <w:lvl w:ilvl="0" w:tplc="40B4A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D444E3"/>
    <w:multiLevelType w:val="hybridMultilevel"/>
    <w:tmpl w:val="EAC4DEC0"/>
    <w:lvl w:ilvl="0" w:tplc="2F2E70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3788D"/>
    <w:multiLevelType w:val="hybridMultilevel"/>
    <w:tmpl w:val="09346C98"/>
    <w:lvl w:ilvl="0" w:tplc="C71E847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72D2BB1"/>
    <w:multiLevelType w:val="hybridMultilevel"/>
    <w:tmpl w:val="9C3E9238"/>
    <w:lvl w:ilvl="0" w:tplc="C71E847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676003C"/>
    <w:multiLevelType w:val="hybridMultilevel"/>
    <w:tmpl w:val="377881DE"/>
    <w:lvl w:ilvl="0" w:tplc="C71E847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66E2CCB"/>
    <w:multiLevelType w:val="hybridMultilevel"/>
    <w:tmpl w:val="6C6A7808"/>
    <w:lvl w:ilvl="0" w:tplc="C71E847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ED454C0"/>
    <w:multiLevelType w:val="multilevel"/>
    <w:tmpl w:val="3B50F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3"/>
  </w:num>
  <w:num w:numId="3">
    <w:abstractNumId w:val="2"/>
  </w:num>
  <w:num w:numId="4">
    <w:abstractNumId w:val="7"/>
  </w:num>
  <w:num w:numId="5">
    <w:abstractNumId w:val="8"/>
  </w:num>
  <w:num w:numId="6">
    <w:abstractNumId w:val="3"/>
  </w:num>
  <w:num w:numId="7">
    <w:abstractNumId w:val="4"/>
  </w:num>
  <w:num w:numId="8">
    <w:abstractNumId w:val="9"/>
  </w:num>
  <w:num w:numId="9">
    <w:abstractNumId w:val="1"/>
  </w:num>
  <w:num w:numId="10">
    <w:abstractNumId w:val="6"/>
  </w:num>
  <w:num w:numId="11">
    <w:abstractNumId w:val="11"/>
  </w:num>
  <w:num w:numId="12">
    <w:abstractNumId w:val="5"/>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F9"/>
    <w:rsid w:val="00001056"/>
    <w:rsid w:val="0000522B"/>
    <w:rsid w:val="00006505"/>
    <w:rsid w:val="00017048"/>
    <w:rsid w:val="00020B35"/>
    <w:rsid w:val="000238FB"/>
    <w:rsid w:val="0002489F"/>
    <w:rsid w:val="00024AA7"/>
    <w:rsid w:val="00042E74"/>
    <w:rsid w:val="00044799"/>
    <w:rsid w:val="000455A8"/>
    <w:rsid w:val="00052323"/>
    <w:rsid w:val="000530B5"/>
    <w:rsid w:val="0005752B"/>
    <w:rsid w:val="00057F28"/>
    <w:rsid w:val="000600FC"/>
    <w:rsid w:val="00063982"/>
    <w:rsid w:val="00082E84"/>
    <w:rsid w:val="00082EF4"/>
    <w:rsid w:val="00083939"/>
    <w:rsid w:val="00086385"/>
    <w:rsid w:val="00086A9A"/>
    <w:rsid w:val="00087249"/>
    <w:rsid w:val="0009222B"/>
    <w:rsid w:val="000A3C42"/>
    <w:rsid w:val="000A4113"/>
    <w:rsid w:val="000B32C7"/>
    <w:rsid w:val="000B5BF9"/>
    <w:rsid w:val="000C1672"/>
    <w:rsid w:val="000C28C3"/>
    <w:rsid w:val="000C69FC"/>
    <w:rsid w:val="000D4FFA"/>
    <w:rsid w:val="000E0660"/>
    <w:rsid w:val="000E11E9"/>
    <w:rsid w:val="000E1D90"/>
    <w:rsid w:val="000F4DDC"/>
    <w:rsid w:val="000F663C"/>
    <w:rsid w:val="00104C64"/>
    <w:rsid w:val="00106592"/>
    <w:rsid w:val="00110910"/>
    <w:rsid w:val="00111436"/>
    <w:rsid w:val="00116938"/>
    <w:rsid w:val="001207BF"/>
    <w:rsid w:val="00124F44"/>
    <w:rsid w:val="001253BA"/>
    <w:rsid w:val="001269B0"/>
    <w:rsid w:val="0014012F"/>
    <w:rsid w:val="001448C1"/>
    <w:rsid w:val="00147252"/>
    <w:rsid w:val="00152AFA"/>
    <w:rsid w:val="001536EC"/>
    <w:rsid w:val="00153F90"/>
    <w:rsid w:val="0016000C"/>
    <w:rsid w:val="001622A4"/>
    <w:rsid w:val="0016654B"/>
    <w:rsid w:val="00180A58"/>
    <w:rsid w:val="00183729"/>
    <w:rsid w:val="001938CC"/>
    <w:rsid w:val="00194CE7"/>
    <w:rsid w:val="0019542C"/>
    <w:rsid w:val="0019656B"/>
    <w:rsid w:val="0019696C"/>
    <w:rsid w:val="001A22C6"/>
    <w:rsid w:val="001A2A27"/>
    <w:rsid w:val="001B018B"/>
    <w:rsid w:val="001B13C8"/>
    <w:rsid w:val="001B573D"/>
    <w:rsid w:val="001C1E36"/>
    <w:rsid w:val="001C48E8"/>
    <w:rsid w:val="001C5540"/>
    <w:rsid w:val="001D78C4"/>
    <w:rsid w:val="001E2926"/>
    <w:rsid w:val="001E4EB4"/>
    <w:rsid w:val="001E72B9"/>
    <w:rsid w:val="001F3EC3"/>
    <w:rsid w:val="001F739D"/>
    <w:rsid w:val="002017E4"/>
    <w:rsid w:val="002030FB"/>
    <w:rsid w:val="00210AB1"/>
    <w:rsid w:val="00211D00"/>
    <w:rsid w:val="00217FB7"/>
    <w:rsid w:val="0022732F"/>
    <w:rsid w:val="00233CAE"/>
    <w:rsid w:val="00236E72"/>
    <w:rsid w:val="00240EAC"/>
    <w:rsid w:val="00246C2E"/>
    <w:rsid w:val="00247380"/>
    <w:rsid w:val="00255BA7"/>
    <w:rsid w:val="00260841"/>
    <w:rsid w:val="00261DD7"/>
    <w:rsid w:val="002634F1"/>
    <w:rsid w:val="00265906"/>
    <w:rsid w:val="00271AD0"/>
    <w:rsid w:val="0027318B"/>
    <w:rsid w:val="00276079"/>
    <w:rsid w:val="00286139"/>
    <w:rsid w:val="00287165"/>
    <w:rsid w:val="002910E5"/>
    <w:rsid w:val="00291A87"/>
    <w:rsid w:val="00294697"/>
    <w:rsid w:val="00295869"/>
    <w:rsid w:val="00297261"/>
    <w:rsid w:val="0029760E"/>
    <w:rsid w:val="002B5CA7"/>
    <w:rsid w:val="002B6AFA"/>
    <w:rsid w:val="002D56B7"/>
    <w:rsid w:val="002D7BB7"/>
    <w:rsid w:val="002E09E3"/>
    <w:rsid w:val="002E7C6B"/>
    <w:rsid w:val="002F50B4"/>
    <w:rsid w:val="00301494"/>
    <w:rsid w:val="00303172"/>
    <w:rsid w:val="003033AD"/>
    <w:rsid w:val="003106AD"/>
    <w:rsid w:val="00310E23"/>
    <w:rsid w:val="0031104F"/>
    <w:rsid w:val="003125F4"/>
    <w:rsid w:val="0031264F"/>
    <w:rsid w:val="00330DC0"/>
    <w:rsid w:val="00333BA7"/>
    <w:rsid w:val="00342A7B"/>
    <w:rsid w:val="00344C2A"/>
    <w:rsid w:val="00345229"/>
    <w:rsid w:val="00345AF2"/>
    <w:rsid w:val="00352486"/>
    <w:rsid w:val="0035395A"/>
    <w:rsid w:val="00360A40"/>
    <w:rsid w:val="00365352"/>
    <w:rsid w:val="00367C4C"/>
    <w:rsid w:val="00370DA2"/>
    <w:rsid w:val="0037380E"/>
    <w:rsid w:val="00374A0E"/>
    <w:rsid w:val="003804A8"/>
    <w:rsid w:val="003A0202"/>
    <w:rsid w:val="003A52C4"/>
    <w:rsid w:val="003A595F"/>
    <w:rsid w:val="003B11C5"/>
    <w:rsid w:val="003B2378"/>
    <w:rsid w:val="003B3D9F"/>
    <w:rsid w:val="003B6EBF"/>
    <w:rsid w:val="003C074B"/>
    <w:rsid w:val="003C115B"/>
    <w:rsid w:val="003C3809"/>
    <w:rsid w:val="003C594F"/>
    <w:rsid w:val="003C5B82"/>
    <w:rsid w:val="003D1842"/>
    <w:rsid w:val="003D209E"/>
    <w:rsid w:val="003D4197"/>
    <w:rsid w:val="003D5CD7"/>
    <w:rsid w:val="003E0586"/>
    <w:rsid w:val="003E4B88"/>
    <w:rsid w:val="003E5022"/>
    <w:rsid w:val="00400932"/>
    <w:rsid w:val="00401D04"/>
    <w:rsid w:val="0040322A"/>
    <w:rsid w:val="0040357E"/>
    <w:rsid w:val="00404D75"/>
    <w:rsid w:val="004077D6"/>
    <w:rsid w:val="00423F4B"/>
    <w:rsid w:val="00424818"/>
    <w:rsid w:val="00426215"/>
    <w:rsid w:val="0042749B"/>
    <w:rsid w:val="0043321F"/>
    <w:rsid w:val="004366E4"/>
    <w:rsid w:val="00441D6D"/>
    <w:rsid w:val="004443C5"/>
    <w:rsid w:val="00445AD5"/>
    <w:rsid w:val="0045308A"/>
    <w:rsid w:val="00455D04"/>
    <w:rsid w:val="004572C4"/>
    <w:rsid w:val="00457B02"/>
    <w:rsid w:val="00465581"/>
    <w:rsid w:val="00470695"/>
    <w:rsid w:val="00475560"/>
    <w:rsid w:val="00484A4C"/>
    <w:rsid w:val="004850CA"/>
    <w:rsid w:val="00491A73"/>
    <w:rsid w:val="00491D88"/>
    <w:rsid w:val="004A18F8"/>
    <w:rsid w:val="004A50EF"/>
    <w:rsid w:val="004C0AAE"/>
    <w:rsid w:val="004C260A"/>
    <w:rsid w:val="004C364B"/>
    <w:rsid w:val="004C5DBA"/>
    <w:rsid w:val="004C6F10"/>
    <w:rsid w:val="004C6F24"/>
    <w:rsid w:val="004D52DE"/>
    <w:rsid w:val="004E0819"/>
    <w:rsid w:val="004E3F39"/>
    <w:rsid w:val="004F1437"/>
    <w:rsid w:val="004F6802"/>
    <w:rsid w:val="00503131"/>
    <w:rsid w:val="005048E9"/>
    <w:rsid w:val="00511D95"/>
    <w:rsid w:val="00515D11"/>
    <w:rsid w:val="00524864"/>
    <w:rsid w:val="00530FBD"/>
    <w:rsid w:val="00536A90"/>
    <w:rsid w:val="00540794"/>
    <w:rsid w:val="00554D21"/>
    <w:rsid w:val="00562E29"/>
    <w:rsid w:val="00563EF7"/>
    <w:rsid w:val="005664D0"/>
    <w:rsid w:val="00570D51"/>
    <w:rsid w:val="005715E8"/>
    <w:rsid w:val="00571C5B"/>
    <w:rsid w:val="00574E4F"/>
    <w:rsid w:val="005756F2"/>
    <w:rsid w:val="00577C6F"/>
    <w:rsid w:val="00582624"/>
    <w:rsid w:val="005A75D4"/>
    <w:rsid w:val="005B0DC8"/>
    <w:rsid w:val="005B17B0"/>
    <w:rsid w:val="005B752E"/>
    <w:rsid w:val="005B7C47"/>
    <w:rsid w:val="005C0050"/>
    <w:rsid w:val="005C3FBF"/>
    <w:rsid w:val="005D0FFA"/>
    <w:rsid w:val="005D4DAC"/>
    <w:rsid w:val="00600473"/>
    <w:rsid w:val="00610D80"/>
    <w:rsid w:val="006131B5"/>
    <w:rsid w:val="00614DC3"/>
    <w:rsid w:val="00614FDC"/>
    <w:rsid w:val="00621824"/>
    <w:rsid w:val="00627DDD"/>
    <w:rsid w:val="006324F6"/>
    <w:rsid w:val="0063435A"/>
    <w:rsid w:val="00642A33"/>
    <w:rsid w:val="00647F6F"/>
    <w:rsid w:val="00652331"/>
    <w:rsid w:val="0065664B"/>
    <w:rsid w:val="00657D4E"/>
    <w:rsid w:val="0067136E"/>
    <w:rsid w:val="006728CC"/>
    <w:rsid w:val="00675A05"/>
    <w:rsid w:val="00675F9A"/>
    <w:rsid w:val="00676B36"/>
    <w:rsid w:val="0068097E"/>
    <w:rsid w:val="00685987"/>
    <w:rsid w:val="00690CAC"/>
    <w:rsid w:val="00694F51"/>
    <w:rsid w:val="006A2589"/>
    <w:rsid w:val="006A34F3"/>
    <w:rsid w:val="006A599D"/>
    <w:rsid w:val="006A74D6"/>
    <w:rsid w:val="006B0EF6"/>
    <w:rsid w:val="006C0EE9"/>
    <w:rsid w:val="006C3213"/>
    <w:rsid w:val="006C540C"/>
    <w:rsid w:val="006E15A4"/>
    <w:rsid w:val="006F1B9B"/>
    <w:rsid w:val="006F5CEC"/>
    <w:rsid w:val="0070084B"/>
    <w:rsid w:val="007037EF"/>
    <w:rsid w:val="00703C10"/>
    <w:rsid w:val="00707296"/>
    <w:rsid w:val="00707896"/>
    <w:rsid w:val="0071176A"/>
    <w:rsid w:val="00725D8A"/>
    <w:rsid w:val="007352CC"/>
    <w:rsid w:val="00746BEB"/>
    <w:rsid w:val="00756700"/>
    <w:rsid w:val="007571A1"/>
    <w:rsid w:val="00765AD3"/>
    <w:rsid w:val="007728CA"/>
    <w:rsid w:val="0077798A"/>
    <w:rsid w:val="007821C6"/>
    <w:rsid w:val="00795571"/>
    <w:rsid w:val="007A1D98"/>
    <w:rsid w:val="007A4295"/>
    <w:rsid w:val="007B1F39"/>
    <w:rsid w:val="007C1D5C"/>
    <w:rsid w:val="007C3EAF"/>
    <w:rsid w:val="007D4E92"/>
    <w:rsid w:val="007D574D"/>
    <w:rsid w:val="007D5E20"/>
    <w:rsid w:val="007D72F9"/>
    <w:rsid w:val="007E0567"/>
    <w:rsid w:val="007E762F"/>
    <w:rsid w:val="007F2D69"/>
    <w:rsid w:val="007F2EC1"/>
    <w:rsid w:val="007F6BB9"/>
    <w:rsid w:val="008040DE"/>
    <w:rsid w:val="00811D70"/>
    <w:rsid w:val="008125AA"/>
    <w:rsid w:val="00821DFE"/>
    <w:rsid w:val="008224EF"/>
    <w:rsid w:val="00825EE9"/>
    <w:rsid w:val="008306C2"/>
    <w:rsid w:val="008462DE"/>
    <w:rsid w:val="00854515"/>
    <w:rsid w:val="0085499B"/>
    <w:rsid w:val="00860511"/>
    <w:rsid w:val="00864699"/>
    <w:rsid w:val="00874511"/>
    <w:rsid w:val="00875A68"/>
    <w:rsid w:val="00890841"/>
    <w:rsid w:val="008932DC"/>
    <w:rsid w:val="0089333C"/>
    <w:rsid w:val="008A2229"/>
    <w:rsid w:val="008A2ABB"/>
    <w:rsid w:val="008A4329"/>
    <w:rsid w:val="008A53FA"/>
    <w:rsid w:val="008A6A9F"/>
    <w:rsid w:val="008B0A55"/>
    <w:rsid w:val="008B322C"/>
    <w:rsid w:val="008B72A9"/>
    <w:rsid w:val="008C3E86"/>
    <w:rsid w:val="008C41E3"/>
    <w:rsid w:val="008C5B63"/>
    <w:rsid w:val="008D34F9"/>
    <w:rsid w:val="008D3898"/>
    <w:rsid w:val="008D5111"/>
    <w:rsid w:val="008E227D"/>
    <w:rsid w:val="008E27D0"/>
    <w:rsid w:val="008E496A"/>
    <w:rsid w:val="008F02FE"/>
    <w:rsid w:val="008F10DF"/>
    <w:rsid w:val="00905C60"/>
    <w:rsid w:val="009065C5"/>
    <w:rsid w:val="009119B4"/>
    <w:rsid w:val="00931871"/>
    <w:rsid w:val="00933A39"/>
    <w:rsid w:val="009376D5"/>
    <w:rsid w:val="00941AFA"/>
    <w:rsid w:val="0094517F"/>
    <w:rsid w:val="0094791E"/>
    <w:rsid w:val="009665C5"/>
    <w:rsid w:val="00971C52"/>
    <w:rsid w:val="00973CE2"/>
    <w:rsid w:val="009776C7"/>
    <w:rsid w:val="00981E4E"/>
    <w:rsid w:val="009943B3"/>
    <w:rsid w:val="009A04FA"/>
    <w:rsid w:val="009A31B8"/>
    <w:rsid w:val="009A3A1F"/>
    <w:rsid w:val="009B003B"/>
    <w:rsid w:val="009B56E8"/>
    <w:rsid w:val="009C0828"/>
    <w:rsid w:val="009C511F"/>
    <w:rsid w:val="009C7CC6"/>
    <w:rsid w:val="009D0B6E"/>
    <w:rsid w:val="009D730B"/>
    <w:rsid w:val="009E2B1E"/>
    <w:rsid w:val="009E3C91"/>
    <w:rsid w:val="009E415C"/>
    <w:rsid w:val="009E5F35"/>
    <w:rsid w:val="009E687E"/>
    <w:rsid w:val="009E71C5"/>
    <w:rsid w:val="009F2BC9"/>
    <w:rsid w:val="009F3C01"/>
    <w:rsid w:val="00A02911"/>
    <w:rsid w:val="00A03226"/>
    <w:rsid w:val="00A05147"/>
    <w:rsid w:val="00A077C6"/>
    <w:rsid w:val="00A10E2D"/>
    <w:rsid w:val="00A12610"/>
    <w:rsid w:val="00A169CD"/>
    <w:rsid w:val="00A17DC7"/>
    <w:rsid w:val="00A17EA5"/>
    <w:rsid w:val="00A26BED"/>
    <w:rsid w:val="00A316C8"/>
    <w:rsid w:val="00A323DB"/>
    <w:rsid w:val="00A328DE"/>
    <w:rsid w:val="00A33F3E"/>
    <w:rsid w:val="00A4049A"/>
    <w:rsid w:val="00A52E6B"/>
    <w:rsid w:val="00A54BBC"/>
    <w:rsid w:val="00A63902"/>
    <w:rsid w:val="00A667D2"/>
    <w:rsid w:val="00A73FE7"/>
    <w:rsid w:val="00A770A7"/>
    <w:rsid w:val="00A8522E"/>
    <w:rsid w:val="00A9501C"/>
    <w:rsid w:val="00A95F3D"/>
    <w:rsid w:val="00AA7645"/>
    <w:rsid w:val="00AA7C41"/>
    <w:rsid w:val="00AB04F0"/>
    <w:rsid w:val="00AC40B1"/>
    <w:rsid w:val="00AC7A4F"/>
    <w:rsid w:val="00AD434A"/>
    <w:rsid w:val="00AE320A"/>
    <w:rsid w:val="00AE7018"/>
    <w:rsid w:val="00AF3C18"/>
    <w:rsid w:val="00AF5BE4"/>
    <w:rsid w:val="00B032C0"/>
    <w:rsid w:val="00B049BA"/>
    <w:rsid w:val="00B12C74"/>
    <w:rsid w:val="00B166A9"/>
    <w:rsid w:val="00B3764B"/>
    <w:rsid w:val="00B37A09"/>
    <w:rsid w:val="00B470CB"/>
    <w:rsid w:val="00B561EC"/>
    <w:rsid w:val="00B5777D"/>
    <w:rsid w:val="00B62E0B"/>
    <w:rsid w:val="00B7263E"/>
    <w:rsid w:val="00B75A99"/>
    <w:rsid w:val="00B760B8"/>
    <w:rsid w:val="00B77860"/>
    <w:rsid w:val="00B779E0"/>
    <w:rsid w:val="00B83146"/>
    <w:rsid w:val="00B86FCB"/>
    <w:rsid w:val="00B93857"/>
    <w:rsid w:val="00B93D64"/>
    <w:rsid w:val="00BA3117"/>
    <w:rsid w:val="00BB17B3"/>
    <w:rsid w:val="00BC10D9"/>
    <w:rsid w:val="00BC1E49"/>
    <w:rsid w:val="00BC5BD5"/>
    <w:rsid w:val="00BD028E"/>
    <w:rsid w:val="00BD4575"/>
    <w:rsid w:val="00BE05CD"/>
    <w:rsid w:val="00BE590E"/>
    <w:rsid w:val="00BE7B3D"/>
    <w:rsid w:val="00C049BF"/>
    <w:rsid w:val="00C24A5C"/>
    <w:rsid w:val="00C27788"/>
    <w:rsid w:val="00C32CFA"/>
    <w:rsid w:val="00C402A2"/>
    <w:rsid w:val="00C403A2"/>
    <w:rsid w:val="00C43D50"/>
    <w:rsid w:val="00C56B7A"/>
    <w:rsid w:val="00C65A1B"/>
    <w:rsid w:val="00C668D5"/>
    <w:rsid w:val="00C66C62"/>
    <w:rsid w:val="00C71FF7"/>
    <w:rsid w:val="00C80372"/>
    <w:rsid w:val="00C86CBC"/>
    <w:rsid w:val="00CA00B6"/>
    <w:rsid w:val="00CB089F"/>
    <w:rsid w:val="00CC05A7"/>
    <w:rsid w:val="00CC2DE1"/>
    <w:rsid w:val="00CC7A61"/>
    <w:rsid w:val="00CD127D"/>
    <w:rsid w:val="00CD7E73"/>
    <w:rsid w:val="00CE0195"/>
    <w:rsid w:val="00CE1E4B"/>
    <w:rsid w:val="00CE4424"/>
    <w:rsid w:val="00CE704A"/>
    <w:rsid w:val="00CF091D"/>
    <w:rsid w:val="00CF6790"/>
    <w:rsid w:val="00D02369"/>
    <w:rsid w:val="00D03F80"/>
    <w:rsid w:val="00D0408D"/>
    <w:rsid w:val="00D10BB7"/>
    <w:rsid w:val="00D134A6"/>
    <w:rsid w:val="00D15DD8"/>
    <w:rsid w:val="00D230E2"/>
    <w:rsid w:val="00D23FBE"/>
    <w:rsid w:val="00D245BD"/>
    <w:rsid w:val="00D25A0C"/>
    <w:rsid w:val="00D27E3A"/>
    <w:rsid w:val="00D3010D"/>
    <w:rsid w:val="00D31396"/>
    <w:rsid w:val="00D562CA"/>
    <w:rsid w:val="00D57C84"/>
    <w:rsid w:val="00D62516"/>
    <w:rsid w:val="00D626AB"/>
    <w:rsid w:val="00D6514B"/>
    <w:rsid w:val="00D665FD"/>
    <w:rsid w:val="00D72F7B"/>
    <w:rsid w:val="00D7382A"/>
    <w:rsid w:val="00D74FAA"/>
    <w:rsid w:val="00D76E95"/>
    <w:rsid w:val="00D82C73"/>
    <w:rsid w:val="00D939A5"/>
    <w:rsid w:val="00D961FB"/>
    <w:rsid w:val="00DA0E8A"/>
    <w:rsid w:val="00DA4296"/>
    <w:rsid w:val="00DA4B5B"/>
    <w:rsid w:val="00DA534A"/>
    <w:rsid w:val="00DA5E96"/>
    <w:rsid w:val="00DA737D"/>
    <w:rsid w:val="00DA7A84"/>
    <w:rsid w:val="00DC030F"/>
    <w:rsid w:val="00DC0687"/>
    <w:rsid w:val="00DC2B11"/>
    <w:rsid w:val="00DC3568"/>
    <w:rsid w:val="00DC43A3"/>
    <w:rsid w:val="00DC59F3"/>
    <w:rsid w:val="00DD266F"/>
    <w:rsid w:val="00DD3B2A"/>
    <w:rsid w:val="00DE462E"/>
    <w:rsid w:val="00DE732D"/>
    <w:rsid w:val="00DF6101"/>
    <w:rsid w:val="00E0642F"/>
    <w:rsid w:val="00E1650C"/>
    <w:rsid w:val="00E24626"/>
    <w:rsid w:val="00E24FAE"/>
    <w:rsid w:val="00E320BB"/>
    <w:rsid w:val="00E44EFA"/>
    <w:rsid w:val="00E4613B"/>
    <w:rsid w:val="00E50E33"/>
    <w:rsid w:val="00E5777B"/>
    <w:rsid w:val="00E6166A"/>
    <w:rsid w:val="00E70933"/>
    <w:rsid w:val="00E717B6"/>
    <w:rsid w:val="00E75BC9"/>
    <w:rsid w:val="00E778E1"/>
    <w:rsid w:val="00E84CC4"/>
    <w:rsid w:val="00E910F1"/>
    <w:rsid w:val="00E94C4C"/>
    <w:rsid w:val="00E96E1D"/>
    <w:rsid w:val="00EB094E"/>
    <w:rsid w:val="00EB5A57"/>
    <w:rsid w:val="00EC16A5"/>
    <w:rsid w:val="00EC19CF"/>
    <w:rsid w:val="00EC343A"/>
    <w:rsid w:val="00EC5B9E"/>
    <w:rsid w:val="00EC6544"/>
    <w:rsid w:val="00ED3CD5"/>
    <w:rsid w:val="00EE10F8"/>
    <w:rsid w:val="00EE528F"/>
    <w:rsid w:val="00F027FC"/>
    <w:rsid w:val="00F30F7B"/>
    <w:rsid w:val="00F351C3"/>
    <w:rsid w:val="00F35B58"/>
    <w:rsid w:val="00F35F21"/>
    <w:rsid w:val="00F4043A"/>
    <w:rsid w:val="00F4212F"/>
    <w:rsid w:val="00F45F82"/>
    <w:rsid w:val="00F50346"/>
    <w:rsid w:val="00F56140"/>
    <w:rsid w:val="00F56FBE"/>
    <w:rsid w:val="00F64C05"/>
    <w:rsid w:val="00F74F01"/>
    <w:rsid w:val="00F765A4"/>
    <w:rsid w:val="00F80177"/>
    <w:rsid w:val="00F81A3F"/>
    <w:rsid w:val="00F83408"/>
    <w:rsid w:val="00F950F1"/>
    <w:rsid w:val="00F9525B"/>
    <w:rsid w:val="00FA72C3"/>
    <w:rsid w:val="00FB420B"/>
    <w:rsid w:val="00FB49EC"/>
    <w:rsid w:val="00FC1683"/>
    <w:rsid w:val="00FD2181"/>
    <w:rsid w:val="00FE13B2"/>
    <w:rsid w:val="00FE5856"/>
    <w:rsid w:val="00FE5E0A"/>
    <w:rsid w:val="00FF0D8E"/>
    <w:rsid w:val="00FF2378"/>
    <w:rsid w:val="00FF3DFB"/>
    <w:rsid w:val="00FF50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805CB"/>
  <w15:docId w15:val="{BE4081C3-3605-4DF1-8B97-0BB21B86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74D"/>
    <w:pPr>
      <w:spacing w:before="120" w:after="120"/>
      <w:jc w:val="both"/>
    </w:pPr>
    <w:rPr>
      <w:rFonts w:ascii="Times New Roman" w:hAnsi="Times New Roman"/>
      <w:sz w:val="22"/>
      <w:szCs w:val="22"/>
      <w:lang w:val="en-US" w:eastAsia="en-US"/>
    </w:rPr>
  </w:style>
  <w:style w:type="paragraph" w:styleId="Heading1">
    <w:name w:val="heading 1"/>
    <w:basedOn w:val="Normal"/>
    <w:next w:val="Normal"/>
    <w:link w:val="Heading1Char"/>
    <w:uiPriority w:val="9"/>
    <w:qFormat/>
    <w:rsid w:val="0068097E"/>
    <w:pPr>
      <w:keepNext/>
      <w:keepLines/>
      <w:spacing w:before="240" w:after="240"/>
      <w:outlineLvl w:val="0"/>
    </w:pPr>
    <w:rPr>
      <w:rFonts w:eastAsia="SimSun"/>
      <w:b/>
      <w:color w:val="1F4E79"/>
      <w:sz w:val="32"/>
      <w:szCs w:val="36"/>
    </w:rPr>
  </w:style>
  <w:style w:type="paragraph" w:styleId="Heading2">
    <w:name w:val="heading 2"/>
    <w:basedOn w:val="Normal"/>
    <w:next w:val="Normal"/>
    <w:link w:val="Heading2Char"/>
    <w:uiPriority w:val="9"/>
    <w:unhideWhenUsed/>
    <w:qFormat/>
    <w:rsid w:val="00AF3C18"/>
    <w:pPr>
      <w:keepNext/>
      <w:keepLines/>
      <w:spacing w:before="240" w:after="240"/>
      <w:outlineLvl w:val="1"/>
    </w:pPr>
    <w:rPr>
      <w:rFonts w:eastAsia="SimSun"/>
      <w:b/>
      <w:color w:val="385623" w:themeColor="accent6" w:themeShade="80"/>
      <w:sz w:val="26"/>
      <w:szCs w:val="32"/>
    </w:rPr>
  </w:style>
  <w:style w:type="paragraph" w:styleId="Heading3">
    <w:name w:val="heading 3"/>
    <w:basedOn w:val="Normal"/>
    <w:next w:val="Normal"/>
    <w:link w:val="Heading3Char"/>
    <w:uiPriority w:val="9"/>
    <w:unhideWhenUsed/>
    <w:qFormat/>
    <w:rsid w:val="00AF3C18"/>
    <w:pPr>
      <w:keepNext/>
      <w:keepLines/>
      <w:spacing w:before="280" w:after="240"/>
      <w:outlineLvl w:val="2"/>
    </w:pPr>
    <w:rPr>
      <w:rFonts w:eastAsia="SimSun"/>
      <w:b/>
      <w:color w:val="385623" w:themeColor="accent6" w:themeShade="80"/>
      <w:sz w:val="24"/>
      <w:szCs w:val="28"/>
    </w:rPr>
  </w:style>
  <w:style w:type="paragraph" w:styleId="Heading4">
    <w:name w:val="heading 4"/>
    <w:basedOn w:val="Normal"/>
    <w:next w:val="Normal"/>
    <w:link w:val="Heading4Char"/>
    <w:uiPriority w:val="9"/>
    <w:semiHidden/>
    <w:unhideWhenUsed/>
    <w:qFormat/>
    <w:rsid w:val="00C80372"/>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C80372"/>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C80372"/>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C80372"/>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C80372"/>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C80372"/>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55D04"/>
    <w:rPr>
      <w:color w:val="0563C1"/>
      <w:u w:val="single"/>
    </w:rPr>
  </w:style>
  <w:style w:type="paragraph" w:customStyle="1" w:styleId="Default">
    <w:name w:val="Default"/>
    <w:rsid w:val="008A53FA"/>
    <w:pPr>
      <w:autoSpaceDE w:val="0"/>
      <w:autoSpaceDN w:val="0"/>
      <w:adjustRightInd w:val="0"/>
      <w:spacing w:after="160" w:line="259" w:lineRule="auto"/>
    </w:pPr>
    <w:rPr>
      <w:rFonts w:ascii="Times New Roman" w:hAnsi="Times New Roman"/>
      <w:color w:val="000000"/>
      <w:sz w:val="24"/>
      <w:szCs w:val="24"/>
      <w:lang w:val="en-US" w:eastAsia="en-US"/>
    </w:rPr>
  </w:style>
  <w:style w:type="paragraph" w:styleId="NormalWeb">
    <w:name w:val="Normal (Web)"/>
    <w:basedOn w:val="Normal"/>
    <w:uiPriority w:val="99"/>
    <w:unhideWhenUsed/>
    <w:rsid w:val="00D27E3A"/>
    <w:pPr>
      <w:spacing w:before="100" w:beforeAutospacing="1" w:after="100" w:afterAutospacing="1"/>
    </w:pPr>
    <w:rPr>
      <w:sz w:val="24"/>
      <w:szCs w:val="24"/>
    </w:rPr>
  </w:style>
  <w:style w:type="character" w:styleId="FollowedHyperlink">
    <w:name w:val="FollowedHyperlink"/>
    <w:uiPriority w:val="99"/>
    <w:semiHidden/>
    <w:unhideWhenUsed/>
    <w:rsid w:val="005048E9"/>
    <w:rPr>
      <w:color w:val="954F72"/>
      <w:u w:val="single"/>
    </w:rPr>
  </w:style>
  <w:style w:type="character" w:styleId="Strong">
    <w:name w:val="Strong"/>
    <w:uiPriority w:val="22"/>
    <w:qFormat/>
    <w:rsid w:val="00C80372"/>
    <w:rPr>
      <w:b/>
      <w:bCs/>
    </w:rPr>
  </w:style>
  <w:style w:type="paragraph" w:customStyle="1" w:styleId="Pa8">
    <w:name w:val="Pa8"/>
    <w:basedOn w:val="Default"/>
    <w:next w:val="Default"/>
    <w:uiPriority w:val="99"/>
    <w:rsid w:val="007F2EC1"/>
    <w:pPr>
      <w:spacing w:line="195" w:lineRule="atLeast"/>
    </w:pPr>
    <w:rPr>
      <w:rFonts w:ascii="Bernina Sans" w:hAnsi="Bernina Sans"/>
      <w:color w:val="auto"/>
    </w:rPr>
  </w:style>
  <w:style w:type="paragraph" w:customStyle="1" w:styleId="Pa9">
    <w:name w:val="Pa9"/>
    <w:basedOn w:val="Default"/>
    <w:next w:val="Default"/>
    <w:uiPriority w:val="99"/>
    <w:rsid w:val="007F2EC1"/>
    <w:pPr>
      <w:spacing w:line="187" w:lineRule="atLeast"/>
    </w:pPr>
    <w:rPr>
      <w:rFonts w:ascii="Bernina Sans" w:hAnsi="Bernina Sans"/>
      <w:color w:val="auto"/>
    </w:rPr>
  </w:style>
  <w:style w:type="character" w:customStyle="1" w:styleId="Heading1Char">
    <w:name w:val="Heading 1 Char"/>
    <w:link w:val="Heading1"/>
    <w:uiPriority w:val="9"/>
    <w:rsid w:val="0068097E"/>
    <w:rPr>
      <w:rFonts w:ascii="Times New Roman" w:eastAsia="SimSun" w:hAnsi="Times New Roman"/>
      <w:b/>
      <w:color w:val="1F4E79"/>
      <w:sz w:val="32"/>
      <w:szCs w:val="36"/>
      <w:lang w:val="en-US" w:eastAsia="en-US"/>
    </w:rPr>
  </w:style>
  <w:style w:type="character" w:customStyle="1" w:styleId="Heading2Char">
    <w:name w:val="Heading 2 Char"/>
    <w:link w:val="Heading2"/>
    <w:uiPriority w:val="9"/>
    <w:rsid w:val="00AF3C18"/>
    <w:rPr>
      <w:rFonts w:ascii="Times New Roman" w:eastAsia="SimSun" w:hAnsi="Times New Roman"/>
      <w:b/>
      <w:color w:val="385623" w:themeColor="accent6" w:themeShade="80"/>
      <w:sz w:val="26"/>
      <w:szCs w:val="32"/>
      <w:lang w:val="en-US" w:eastAsia="en-US"/>
    </w:rPr>
  </w:style>
  <w:style w:type="character" w:customStyle="1" w:styleId="Heading3Char">
    <w:name w:val="Heading 3 Char"/>
    <w:link w:val="Heading3"/>
    <w:uiPriority w:val="9"/>
    <w:rsid w:val="00AF3C18"/>
    <w:rPr>
      <w:rFonts w:ascii="Times New Roman" w:eastAsia="SimSun" w:hAnsi="Times New Roman"/>
      <w:b/>
      <w:color w:val="385623" w:themeColor="accent6" w:themeShade="80"/>
      <w:sz w:val="24"/>
      <w:szCs w:val="28"/>
      <w:lang w:val="en-US" w:eastAsia="en-US"/>
    </w:rPr>
  </w:style>
  <w:style w:type="character" w:customStyle="1" w:styleId="Heading4Char">
    <w:name w:val="Heading 4 Char"/>
    <w:link w:val="Heading4"/>
    <w:uiPriority w:val="9"/>
    <w:semiHidden/>
    <w:rsid w:val="00C80372"/>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C80372"/>
    <w:rPr>
      <w:rFonts w:ascii="Calibri Light" w:eastAsia="SimSun" w:hAnsi="Calibri Light" w:cs="Times New Roman"/>
      <w:caps/>
      <w:color w:val="2E74B5"/>
    </w:rPr>
  </w:style>
  <w:style w:type="character" w:customStyle="1" w:styleId="Heading6Char">
    <w:name w:val="Heading 6 Char"/>
    <w:link w:val="Heading6"/>
    <w:uiPriority w:val="9"/>
    <w:semiHidden/>
    <w:rsid w:val="00C80372"/>
    <w:rPr>
      <w:rFonts w:ascii="Calibri Light" w:eastAsia="SimSun" w:hAnsi="Calibri Light" w:cs="Times New Roman"/>
      <w:i/>
      <w:iCs/>
      <w:caps/>
      <w:color w:val="1F4E79"/>
    </w:rPr>
  </w:style>
  <w:style w:type="character" w:customStyle="1" w:styleId="Heading7Char">
    <w:name w:val="Heading 7 Char"/>
    <w:link w:val="Heading7"/>
    <w:uiPriority w:val="9"/>
    <w:semiHidden/>
    <w:rsid w:val="00C80372"/>
    <w:rPr>
      <w:rFonts w:ascii="Calibri Light" w:eastAsia="SimSun" w:hAnsi="Calibri Light" w:cs="Times New Roman"/>
      <w:b/>
      <w:bCs/>
      <w:color w:val="1F4E79"/>
    </w:rPr>
  </w:style>
  <w:style w:type="character" w:customStyle="1" w:styleId="Heading8Char">
    <w:name w:val="Heading 8 Char"/>
    <w:link w:val="Heading8"/>
    <w:uiPriority w:val="9"/>
    <w:semiHidden/>
    <w:rsid w:val="00C80372"/>
    <w:rPr>
      <w:rFonts w:ascii="Calibri Light" w:eastAsia="SimSun" w:hAnsi="Calibri Light" w:cs="Times New Roman"/>
      <w:b/>
      <w:bCs/>
      <w:i/>
      <w:iCs/>
      <w:color w:val="1F4E79"/>
    </w:rPr>
  </w:style>
  <w:style w:type="character" w:customStyle="1" w:styleId="Heading9Char">
    <w:name w:val="Heading 9 Char"/>
    <w:link w:val="Heading9"/>
    <w:uiPriority w:val="9"/>
    <w:semiHidden/>
    <w:rsid w:val="00C80372"/>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C80372"/>
    <w:rPr>
      <w:b/>
      <w:bCs/>
      <w:smallCaps/>
      <w:color w:val="44546A"/>
    </w:rPr>
  </w:style>
  <w:style w:type="paragraph" w:styleId="Title">
    <w:name w:val="Title"/>
    <w:basedOn w:val="Normal"/>
    <w:next w:val="Normal"/>
    <w:link w:val="TitleChar"/>
    <w:uiPriority w:val="10"/>
    <w:qFormat/>
    <w:rsid w:val="00C80372"/>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C80372"/>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C80372"/>
    <w:pPr>
      <w:numPr>
        <w:ilvl w:val="1"/>
      </w:numPr>
      <w:spacing w:after="240"/>
    </w:pPr>
    <w:rPr>
      <w:rFonts w:ascii="Calibri Light" w:eastAsia="SimSun" w:hAnsi="Calibri Light"/>
      <w:color w:val="5B9BD5"/>
      <w:sz w:val="28"/>
      <w:szCs w:val="28"/>
    </w:rPr>
  </w:style>
  <w:style w:type="character" w:customStyle="1" w:styleId="SubtitleChar">
    <w:name w:val="Subtitle Char"/>
    <w:link w:val="Subtitle"/>
    <w:uiPriority w:val="11"/>
    <w:rsid w:val="00C80372"/>
    <w:rPr>
      <w:rFonts w:ascii="Calibri Light" w:eastAsia="SimSun" w:hAnsi="Calibri Light" w:cs="Times New Roman"/>
      <w:color w:val="5B9BD5"/>
      <w:sz w:val="28"/>
      <w:szCs w:val="28"/>
    </w:rPr>
  </w:style>
  <w:style w:type="character" w:styleId="Emphasis">
    <w:name w:val="Emphasis"/>
    <w:uiPriority w:val="20"/>
    <w:qFormat/>
    <w:rsid w:val="00C80372"/>
    <w:rPr>
      <w:i/>
      <w:iCs/>
    </w:rPr>
  </w:style>
  <w:style w:type="paragraph" w:styleId="NoSpacing">
    <w:name w:val="No Spacing"/>
    <w:uiPriority w:val="1"/>
    <w:qFormat/>
    <w:rsid w:val="00C80372"/>
    <w:rPr>
      <w:sz w:val="22"/>
      <w:szCs w:val="22"/>
      <w:lang w:val="en-US" w:eastAsia="en-US"/>
    </w:rPr>
  </w:style>
  <w:style w:type="paragraph" w:styleId="Quote">
    <w:name w:val="Quote"/>
    <w:basedOn w:val="Normal"/>
    <w:next w:val="Normal"/>
    <w:link w:val="QuoteChar"/>
    <w:uiPriority w:val="29"/>
    <w:qFormat/>
    <w:rsid w:val="00C80372"/>
    <w:pPr>
      <w:ind w:left="720"/>
    </w:pPr>
    <w:rPr>
      <w:color w:val="44546A"/>
      <w:sz w:val="24"/>
      <w:szCs w:val="24"/>
    </w:rPr>
  </w:style>
  <w:style w:type="character" w:customStyle="1" w:styleId="QuoteChar">
    <w:name w:val="Quote Char"/>
    <w:link w:val="Quote"/>
    <w:uiPriority w:val="29"/>
    <w:rsid w:val="00C80372"/>
    <w:rPr>
      <w:color w:val="44546A"/>
      <w:sz w:val="24"/>
      <w:szCs w:val="24"/>
    </w:rPr>
  </w:style>
  <w:style w:type="paragraph" w:styleId="IntenseQuote">
    <w:name w:val="Intense Quote"/>
    <w:basedOn w:val="Normal"/>
    <w:next w:val="Normal"/>
    <w:link w:val="IntenseQuoteChar"/>
    <w:uiPriority w:val="30"/>
    <w:qFormat/>
    <w:rsid w:val="00C80372"/>
    <w:pPr>
      <w:spacing w:before="100" w:beforeAutospacing="1" w:after="240"/>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C80372"/>
    <w:rPr>
      <w:rFonts w:ascii="Calibri Light" w:eastAsia="SimSun" w:hAnsi="Calibri Light" w:cs="Times New Roman"/>
      <w:color w:val="44546A"/>
      <w:spacing w:val="-6"/>
      <w:sz w:val="32"/>
      <w:szCs w:val="32"/>
    </w:rPr>
  </w:style>
  <w:style w:type="character" w:styleId="SubtleEmphasis">
    <w:name w:val="Subtle Emphasis"/>
    <w:uiPriority w:val="19"/>
    <w:qFormat/>
    <w:rsid w:val="00C80372"/>
    <w:rPr>
      <w:i/>
      <w:iCs/>
      <w:color w:val="595959"/>
    </w:rPr>
  </w:style>
  <w:style w:type="character" w:styleId="IntenseEmphasis">
    <w:name w:val="Intense Emphasis"/>
    <w:uiPriority w:val="21"/>
    <w:qFormat/>
    <w:rsid w:val="00C80372"/>
    <w:rPr>
      <w:b/>
      <w:bCs/>
      <w:i/>
      <w:iCs/>
    </w:rPr>
  </w:style>
  <w:style w:type="character" w:styleId="SubtleReference">
    <w:name w:val="Subtle Reference"/>
    <w:uiPriority w:val="31"/>
    <w:qFormat/>
    <w:rsid w:val="00C80372"/>
    <w:rPr>
      <w:smallCaps/>
      <w:color w:val="595959"/>
      <w:u w:val="none" w:color="7F7F7F"/>
      <w:bdr w:val="none" w:sz="0" w:space="0" w:color="auto"/>
    </w:rPr>
  </w:style>
  <w:style w:type="character" w:styleId="IntenseReference">
    <w:name w:val="Intense Reference"/>
    <w:uiPriority w:val="32"/>
    <w:qFormat/>
    <w:rsid w:val="00C80372"/>
    <w:rPr>
      <w:b/>
      <w:bCs/>
      <w:smallCaps/>
      <w:color w:val="44546A"/>
      <w:u w:val="single"/>
    </w:rPr>
  </w:style>
  <w:style w:type="character" w:styleId="BookTitle">
    <w:name w:val="Book Title"/>
    <w:uiPriority w:val="33"/>
    <w:qFormat/>
    <w:rsid w:val="00C80372"/>
    <w:rPr>
      <w:b/>
      <w:bCs/>
      <w:smallCaps/>
      <w:spacing w:val="10"/>
    </w:rPr>
  </w:style>
  <w:style w:type="paragraph" w:styleId="TOCHeading">
    <w:name w:val="TOC Heading"/>
    <w:basedOn w:val="Heading1"/>
    <w:next w:val="Normal"/>
    <w:uiPriority w:val="39"/>
    <w:unhideWhenUsed/>
    <w:qFormat/>
    <w:rsid w:val="00C80372"/>
    <w:pPr>
      <w:outlineLvl w:val="9"/>
    </w:pPr>
  </w:style>
  <w:style w:type="table" w:customStyle="1" w:styleId="TableGrid1">
    <w:name w:val="Table Grid1"/>
    <w:basedOn w:val="TableNormal"/>
    <w:next w:val="TableGrid"/>
    <w:uiPriority w:val="39"/>
    <w:rsid w:val="009A3A1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3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3804A8"/>
    <w:pPr>
      <w:spacing w:after="0" w:line="181" w:lineRule="atLeast"/>
    </w:pPr>
    <w:rPr>
      <w:rFonts w:ascii="Trivia Sans Book" w:hAnsi="Trivia Sans Book"/>
      <w:color w:val="auto"/>
    </w:rPr>
  </w:style>
  <w:style w:type="paragraph" w:customStyle="1" w:styleId="Pa22">
    <w:name w:val="Pa22"/>
    <w:basedOn w:val="Default"/>
    <w:next w:val="Default"/>
    <w:uiPriority w:val="99"/>
    <w:rsid w:val="003804A8"/>
    <w:pPr>
      <w:spacing w:after="0" w:line="221" w:lineRule="atLeast"/>
    </w:pPr>
    <w:rPr>
      <w:rFonts w:ascii="Trivia Sans Book" w:hAnsi="Trivia Sans Book"/>
      <w:color w:val="auto"/>
    </w:rPr>
  </w:style>
  <w:style w:type="character" w:customStyle="1" w:styleId="A11">
    <w:name w:val="A11"/>
    <w:uiPriority w:val="99"/>
    <w:rsid w:val="005715E8"/>
    <w:rPr>
      <w:rFonts w:cs="Trivia Sans Book"/>
      <w:color w:val="000000"/>
      <w:sz w:val="12"/>
      <w:szCs w:val="12"/>
    </w:rPr>
  </w:style>
  <w:style w:type="paragraph" w:customStyle="1" w:styleId="Pa2">
    <w:name w:val="Pa2"/>
    <w:basedOn w:val="Default"/>
    <w:next w:val="Default"/>
    <w:uiPriority w:val="99"/>
    <w:rsid w:val="00057F28"/>
    <w:pPr>
      <w:spacing w:after="0" w:line="200" w:lineRule="atLeast"/>
    </w:pPr>
    <w:rPr>
      <w:rFonts w:ascii="Shaker 2 Lancet" w:hAnsi="Shaker 2 Lancet"/>
      <w:color w:val="auto"/>
    </w:rPr>
  </w:style>
  <w:style w:type="character" w:customStyle="1" w:styleId="A2">
    <w:name w:val="A2"/>
    <w:uiPriority w:val="99"/>
    <w:rsid w:val="00057F28"/>
    <w:rPr>
      <w:rFonts w:cs="Shaker 2 Lancet"/>
      <w:color w:val="000000"/>
      <w:sz w:val="10"/>
      <w:szCs w:val="10"/>
    </w:rPr>
  </w:style>
  <w:style w:type="paragraph" w:styleId="EndnoteText">
    <w:name w:val="endnote text"/>
    <w:basedOn w:val="Normal"/>
    <w:link w:val="EndnoteTextChar"/>
    <w:uiPriority w:val="99"/>
    <w:semiHidden/>
    <w:unhideWhenUsed/>
    <w:rsid w:val="00F83408"/>
    <w:rPr>
      <w:sz w:val="20"/>
      <w:szCs w:val="20"/>
    </w:rPr>
  </w:style>
  <w:style w:type="character" w:customStyle="1" w:styleId="EndnoteTextChar">
    <w:name w:val="Endnote Text Char"/>
    <w:link w:val="EndnoteText"/>
    <w:uiPriority w:val="99"/>
    <w:semiHidden/>
    <w:rsid w:val="00F83408"/>
    <w:rPr>
      <w:lang w:val="en-US" w:eastAsia="en-US"/>
    </w:rPr>
  </w:style>
  <w:style w:type="character" w:styleId="EndnoteReference">
    <w:name w:val="endnote reference"/>
    <w:uiPriority w:val="99"/>
    <w:semiHidden/>
    <w:unhideWhenUsed/>
    <w:rsid w:val="00F83408"/>
    <w:rPr>
      <w:vertAlign w:val="superscript"/>
    </w:rPr>
  </w:style>
  <w:style w:type="paragraph" w:styleId="TOC2">
    <w:name w:val="toc 2"/>
    <w:basedOn w:val="Normal"/>
    <w:next w:val="Normal"/>
    <w:autoRedefine/>
    <w:uiPriority w:val="39"/>
    <w:unhideWhenUsed/>
    <w:rsid w:val="008A6A9F"/>
    <w:pPr>
      <w:ind w:left="220"/>
    </w:pPr>
  </w:style>
  <w:style w:type="paragraph" w:styleId="TOC3">
    <w:name w:val="toc 3"/>
    <w:basedOn w:val="Normal"/>
    <w:next w:val="Normal"/>
    <w:autoRedefine/>
    <w:uiPriority w:val="39"/>
    <w:unhideWhenUsed/>
    <w:rsid w:val="008A6A9F"/>
    <w:pPr>
      <w:ind w:left="440"/>
    </w:pPr>
  </w:style>
  <w:style w:type="paragraph" w:styleId="ListParagraph">
    <w:name w:val="List Paragraph"/>
    <w:basedOn w:val="Normal"/>
    <w:uiPriority w:val="34"/>
    <w:qFormat/>
    <w:rsid w:val="000A3C42"/>
    <w:pPr>
      <w:ind w:left="708"/>
    </w:pPr>
  </w:style>
  <w:style w:type="paragraph" w:styleId="Bibliography">
    <w:name w:val="Bibliography"/>
    <w:basedOn w:val="Normal"/>
    <w:next w:val="Normal"/>
    <w:uiPriority w:val="37"/>
    <w:unhideWhenUsed/>
    <w:rsid w:val="000A3C42"/>
  </w:style>
  <w:style w:type="paragraph" w:styleId="TOC1">
    <w:name w:val="toc 1"/>
    <w:basedOn w:val="Normal"/>
    <w:next w:val="Normal"/>
    <w:autoRedefine/>
    <w:uiPriority w:val="39"/>
    <w:unhideWhenUsed/>
    <w:rsid w:val="000A3C42"/>
  </w:style>
  <w:style w:type="paragraph" w:styleId="BalloonText">
    <w:name w:val="Balloon Text"/>
    <w:basedOn w:val="Normal"/>
    <w:link w:val="BalloonTextChar"/>
    <w:uiPriority w:val="99"/>
    <w:semiHidden/>
    <w:unhideWhenUsed/>
    <w:rsid w:val="00484A4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A4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587">
      <w:bodyDiv w:val="1"/>
      <w:marLeft w:val="0"/>
      <w:marRight w:val="0"/>
      <w:marTop w:val="0"/>
      <w:marBottom w:val="0"/>
      <w:divBdr>
        <w:top w:val="none" w:sz="0" w:space="0" w:color="auto"/>
        <w:left w:val="none" w:sz="0" w:space="0" w:color="auto"/>
        <w:bottom w:val="none" w:sz="0" w:space="0" w:color="auto"/>
        <w:right w:val="none" w:sz="0" w:space="0" w:color="auto"/>
      </w:divBdr>
    </w:div>
    <w:div w:id="24596443">
      <w:bodyDiv w:val="1"/>
      <w:marLeft w:val="0"/>
      <w:marRight w:val="0"/>
      <w:marTop w:val="0"/>
      <w:marBottom w:val="0"/>
      <w:divBdr>
        <w:top w:val="none" w:sz="0" w:space="0" w:color="auto"/>
        <w:left w:val="none" w:sz="0" w:space="0" w:color="auto"/>
        <w:bottom w:val="none" w:sz="0" w:space="0" w:color="auto"/>
        <w:right w:val="none" w:sz="0" w:space="0" w:color="auto"/>
      </w:divBdr>
    </w:div>
    <w:div w:id="36006762">
      <w:bodyDiv w:val="1"/>
      <w:marLeft w:val="0"/>
      <w:marRight w:val="0"/>
      <w:marTop w:val="0"/>
      <w:marBottom w:val="0"/>
      <w:divBdr>
        <w:top w:val="none" w:sz="0" w:space="0" w:color="auto"/>
        <w:left w:val="none" w:sz="0" w:space="0" w:color="auto"/>
        <w:bottom w:val="none" w:sz="0" w:space="0" w:color="auto"/>
        <w:right w:val="none" w:sz="0" w:space="0" w:color="auto"/>
      </w:divBdr>
    </w:div>
    <w:div w:id="48649798">
      <w:bodyDiv w:val="1"/>
      <w:marLeft w:val="0"/>
      <w:marRight w:val="0"/>
      <w:marTop w:val="0"/>
      <w:marBottom w:val="0"/>
      <w:divBdr>
        <w:top w:val="none" w:sz="0" w:space="0" w:color="auto"/>
        <w:left w:val="none" w:sz="0" w:space="0" w:color="auto"/>
        <w:bottom w:val="none" w:sz="0" w:space="0" w:color="auto"/>
        <w:right w:val="none" w:sz="0" w:space="0" w:color="auto"/>
      </w:divBdr>
    </w:div>
    <w:div w:id="51315922">
      <w:bodyDiv w:val="1"/>
      <w:marLeft w:val="0"/>
      <w:marRight w:val="0"/>
      <w:marTop w:val="0"/>
      <w:marBottom w:val="0"/>
      <w:divBdr>
        <w:top w:val="none" w:sz="0" w:space="0" w:color="auto"/>
        <w:left w:val="none" w:sz="0" w:space="0" w:color="auto"/>
        <w:bottom w:val="none" w:sz="0" w:space="0" w:color="auto"/>
        <w:right w:val="none" w:sz="0" w:space="0" w:color="auto"/>
      </w:divBdr>
    </w:div>
    <w:div w:id="56367880">
      <w:bodyDiv w:val="1"/>
      <w:marLeft w:val="0"/>
      <w:marRight w:val="0"/>
      <w:marTop w:val="0"/>
      <w:marBottom w:val="0"/>
      <w:divBdr>
        <w:top w:val="none" w:sz="0" w:space="0" w:color="auto"/>
        <w:left w:val="none" w:sz="0" w:space="0" w:color="auto"/>
        <w:bottom w:val="none" w:sz="0" w:space="0" w:color="auto"/>
        <w:right w:val="none" w:sz="0" w:space="0" w:color="auto"/>
      </w:divBdr>
    </w:div>
    <w:div w:id="59179886">
      <w:bodyDiv w:val="1"/>
      <w:marLeft w:val="0"/>
      <w:marRight w:val="0"/>
      <w:marTop w:val="0"/>
      <w:marBottom w:val="0"/>
      <w:divBdr>
        <w:top w:val="none" w:sz="0" w:space="0" w:color="auto"/>
        <w:left w:val="none" w:sz="0" w:space="0" w:color="auto"/>
        <w:bottom w:val="none" w:sz="0" w:space="0" w:color="auto"/>
        <w:right w:val="none" w:sz="0" w:space="0" w:color="auto"/>
      </w:divBdr>
    </w:div>
    <w:div w:id="67312691">
      <w:bodyDiv w:val="1"/>
      <w:marLeft w:val="0"/>
      <w:marRight w:val="0"/>
      <w:marTop w:val="0"/>
      <w:marBottom w:val="0"/>
      <w:divBdr>
        <w:top w:val="none" w:sz="0" w:space="0" w:color="auto"/>
        <w:left w:val="none" w:sz="0" w:space="0" w:color="auto"/>
        <w:bottom w:val="none" w:sz="0" w:space="0" w:color="auto"/>
        <w:right w:val="none" w:sz="0" w:space="0" w:color="auto"/>
      </w:divBdr>
    </w:div>
    <w:div w:id="73281224">
      <w:bodyDiv w:val="1"/>
      <w:marLeft w:val="0"/>
      <w:marRight w:val="0"/>
      <w:marTop w:val="0"/>
      <w:marBottom w:val="0"/>
      <w:divBdr>
        <w:top w:val="none" w:sz="0" w:space="0" w:color="auto"/>
        <w:left w:val="none" w:sz="0" w:space="0" w:color="auto"/>
        <w:bottom w:val="none" w:sz="0" w:space="0" w:color="auto"/>
        <w:right w:val="none" w:sz="0" w:space="0" w:color="auto"/>
      </w:divBdr>
    </w:div>
    <w:div w:id="73628569">
      <w:bodyDiv w:val="1"/>
      <w:marLeft w:val="0"/>
      <w:marRight w:val="0"/>
      <w:marTop w:val="0"/>
      <w:marBottom w:val="0"/>
      <w:divBdr>
        <w:top w:val="none" w:sz="0" w:space="0" w:color="auto"/>
        <w:left w:val="none" w:sz="0" w:space="0" w:color="auto"/>
        <w:bottom w:val="none" w:sz="0" w:space="0" w:color="auto"/>
        <w:right w:val="none" w:sz="0" w:space="0" w:color="auto"/>
      </w:divBdr>
    </w:div>
    <w:div w:id="76558870">
      <w:bodyDiv w:val="1"/>
      <w:marLeft w:val="0"/>
      <w:marRight w:val="0"/>
      <w:marTop w:val="0"/>
      <w:marBottom w:val="0"/>
      <w:divBdr>
        <w:top w:val="none" w:sz="0" w:space="0" w:color="auto"/>
        <w:left w:val="none" w:sz="0" w:space="0" w:color="auto"/>
        <w:bottom w:val="none" w:sz="0" w:space="0" w:color="auto"/>
        <w:right w:val="none" w:sz="0" w:space="0" w:color="auto"/>
      </w:divBdr>
    </w:div>
    <w:div w:id="77990986">
      <w:bodyDiv w:val="1"/>
      <w:marLeft w:val="0"/>
      <w:marRight w:val="0"/>
      <w:marTop w:val="0"/>
      <w:marBottom w:val="0"/>
      <w:divBdr>
        <w:top w:val="none" w:sz="0" w:space="0" w:color="auto"/>
        <w:left w:val="none" w:sz="0" w:space="0" w:color="auto"/>
        <w:bottom w:val="none" w:sz="0" w:space="0" w:color="auto"/>
        <w:right w:val="none" w:sz="0" w:space="0" w:color="auto"/>
      </w:divBdr>
    </w:div>
    <w:div w:id="92602662">
      <w:bodyDiv w:val="1"/>
      <w:marLeft w:val="0"/>
      <w:marRight w:val="0"/>
      <w:marTop w:val="0"/>
      <w:marBottom w:val="0"/>
      <w:divBdr>
        <w:top w:val="none" w:sz="0" w:space="0" w:color="auto"/>
        <w:left w:val="none" w:sz="0" w:space="0" w:color="auto"/>
        <w:bottom w:val="none" w:sz="0" w:space="0" w:color="auto"/>
        <w:right w:val="none" w:sz="0" w:space="0" w:color="auto"/>
      </w:divBdr>
    </w:div>
    <w:div w:id="95490216">
      <w:bodyDiv w:val="1"/>
      <w:marLeft w:val="0"/>
      <w:marRight w:val="0"/>
      <w:marTop w:val="0"/>
      <w:marBottom w:val="0"/>
      <w:divBdr>
        <w:top w:val="none" w:sz="0" w:space="0" w:color="auto"/>
        <w:left w:val="none" w:sz="0" w:space="0" w:color="auto"/>
        <w:bottom w:val="none" w:sz="0" w:space="0" w:color="auto"/>
        <w:right w:val="none" w:sz="0" w:space="0" w:color="auto"/>
      </w:divBdr>
    </w:div>
    <w:div w:id="100341552">
      <w:bodyDiv w:val="1"/>
      <w:marLeft w:val="0"/>
      <w:marRight w:val="0"/>
      <w:marTop w:val="0"/>
      <w:marBottom w:val="0"/>
      <w:divBdr>
        <w:top w:val="none" w:sz="0" w:space="0" w:color="auto"/>
        <w:left w:val="none" w:sz="0" w:space="0" w:color="auto"/>
        <w:bottom w:val="none" w:sz="0" w:space="0" w:color="auto"/>
        <w:right w:val="none" w:sz="0" w:space="0" w:color="auto"/>
      </w:divBdr>
    </w:div>
    <w:div w:id="112675588">
      <w:bodyDiv w:val="1"/>
      <w:marLeft w:val="0"/>
      <w:marRight w:val="0"/>
      <w:marTop w:val="0"/>
      <w:marBottom w:val="0"/>
      <w:divBdr>
        <w:top w:val="none" w:sz="0" w:space="0" w:color="auto"/>
        <w:left w:val="none" w:sz="0" w:space="0" w:color="auto"/>
        <w:bottom w:val="none" w:sz="0" w:space="0" w:color="auto"/>
        <w:right w:val="none" w:sz="0" w:space="0" w:color="auto"/>
      </w:divBdr>
    </w:div>
    <w:div w:id="119423255">
      <w:bodyDiv w:val="1"/>
      <w:marLeft w:val="0"/>
      <w:marRight w:val="0"/>
      <w:marTop w:val="0"/>
      <w:marBottom w:val="0"/>
      <w:divBdr>
        <w:top w:val="none" w:sz="0" w:space="0" w:color="auto"/>
        <w:left w:val="none" w:sz="0" w:space="0" w:color="auto"/>
        <w:bottom w:val="none" w:sz="0" w:space="0" w:color="auto"/>
        <w:right w:val="none" w:sz="0" w:space="0" w:color="auto"/>
      </w:divBdr>
    </w:div>
    <w:div w:id="119611123">
      <w:bodyDiv w:val="1"/>
      <w:marLeft w:val="0"/>
      <w:marRight w:val="0"/>
      <w:marTop w:val="0"/>
      <w:marBottom w:val="0"/>
      <w:divBdr>
        <w:top w:val="none" w:sz="0" w:space="0" w:color="auto"/>
        <w:left w:val="none" w:sz="0" w:space="0" w:color="auto"/>
        <w:bottom w:val="none" w:sz="0" w:space="0" w:color="auto"/>
        <w:right w:val="none" w:sz="0" w:space="0" w:color="auto"/>
      </w:divBdr>
    </w:div>
    <w:div w:id="123348501">
      <w:bodyDiv w:val="1"/>
      <w:marLeft w:val="0"/>
      <w:marRight w:val="0"/>
      <w:marTop w:val="0"/>
      <w:marBottom w:val="0"/>
      <w:divBdr>
        <w:top w:val="none" w:sz="0" w:space="0" w:color="auto"/>
        <w:left w:val="none" w:sz="0" w:space="0" w:color="auto"/>
        <w:bottom w:val="none" w:sz="0" w:space="0" w:color="auto"/>
        <w:right w:val="none" w:sz="0" w:space="0" w:color="auto"/>
      </w:divBdr>
    </w:div>
    <w:div w:id="125244513">
      <w:bodyDiv w:val="1"/>
      <w:marLeft w:val="0"/>
      <w:marRight w:val="0"/>
      <w:marTop w:val="0"/>
      <w:marBottom w:val="0"/>
      <w:divBdr>
        <w:top w:val="none" w:sz="0" w:space="0" w:color="auto"/>
        <w:left w:val="none" w:sz="0" w:space="0" w:color="auto"/>
        <w:bottom w:val="none" w:sz="0" w:space="0" w:color="auto"/>
        <w:right w:val="none" w:sz="0" w:space="0" w:color="auto"/>
      </w:divBdr>
    </w:div>
    <w:div w:id="137692182">
      <w:bodyDiv w:val="1"/>
      <w:marLeft w:val="0"/>
      <w:marRight w:val="0"/>
      <w:marTop w:val="0"/>
      <w:marBottom w:val="0"/>
      <w:divBdr>
        <w:top w:val="none" w:sz="0" w:space="0" w:color="auto"/>
        <w:left w:val="none" w:sz="0" w:space="0" w:color="auto"/>
        <w:bottom w:val="none" w:sz="0" w:space="0" w:color="auto"/>
        <w:right w:val="none" w:sz="0" w:space="0" w:color="auto"/>
      </w:divBdr>
    </w:div>
    <w:div w:id="146553515">
      <w:bodyDiv w:val="1"/>
      <w:marLeft w:val="0"/>
      <w:marRight w:val="0"/>
      <w:marTop w:val="0"/>
      <w:marBottom w:val="0"/>
      <w:divBdr>
        <w:top w:val="none" w:sz="0" w:space="0" w:color="auto"/>
        <w:left w:val="none" w:sz="0" w:space="0" w:color="auto"/>
        <w:bottom w:val="none" w:sz="0" w:space="0" w:color="auto"/>
        <w:right w:val="none" w:sz="0" w:space="0" w:color="auto"/>
      </w:divBdr>
    </w:div>
    <w:div w:id="148137945">
      <w:bodyDiv w:val="1"/>
      <w:marLeft w:val="0"/>
      <w:marRight w:val="0"/>
      <w:marTop w:val="0"/>
      <w:marBottom w:val="0"/>
      <w:divBdr>
        <w:top w:val="none" w:sz="0" w:space="0" w:color="auto"/>
        <w:left w:val="none" w:sz="0" w:space="0" w:color="auto"/>
        <w:bottom w:val="none" w:sz="0" w:space="0" w:color="auto"/>
        <w:right w:val="none" w:sz="0" w:space="0" w:color="auto"/>
      </w:divBdr>
    </w:div>
    <w:div w:id="152987294">
      <w:bodyDiv w:val="1"/>
      <w:marLeft w:val="0"/>
      <w:marRight w:val="0"/>
      <w:marTop w:val="0"/>
      <w:marBottom w:val="0"/>
      <w:divBdr>
        <w:top w:val="none" w:sz="0" w:space="0" w:color="auto"/>
        <w:left w:val="none" w:sz="0" w:space="0" w:color="auto"/>
        <w:bottom w:val="none" w:sz="0" w:space="0" w:color="auto"/>
        <w:right w:val="none" w:sz="0" w:space="0" w:color="auto"/>
      </w:divBdr>
    </w:div>
    <w:div w:id="155465215">
      <w:bodyDiv w:val="1"/>
      <w:marLeft w:val="0"/>
      <w:marRight w:val="0"/>
      <w:marTop w:val="0"/>
      <w:marBottom w:val="0"/>
      <w:divBdr>
        <w:top w:val="none" w:sz="0" w:space="0" w:color="auto"/>
        <w:left w:val="none" w:sz="0" w:space="0" w:color="auto"/>
        <w:bottom w:val="none" w:sz="0" w:space="0" w:color="auto"/>
        <w:right w:val="none" w:sz="0" w:space="0" w:color="auto"/>
      </w:divBdr>
    </w:div>
    <w:div w:id="158155820">
      <w:bodyDiv w:val="1"/>
      <w:marLeft w:val="0"/>
      <w:marRight w:val="0"/>
      <w:marTop w:val="0"/>
      <w:marBottom w:val="0"/>
      <w:divBdr>
        <w:top w:val="none" w:sz="0" w:space="0" w:color="auto"/>
        <w:left w:val="none" w:sz="0" w:space="0" w:color="auto"/>
        <w:bottom w:val="none" w:sz="0" w:space="0" w:color="auto"/>
        <w:right w:val="none" w:sz="0" w:space="0" w:color="auto"/>
      </w:divBdr>
    </w:div>
    <w:div w:id="159201050">
      <w:bodyDiv w:val="1"/>
      <w:marLeft w:val="0"/>
      <w:marRight w:val="0"/>
      <w:marTop w:val="0"/>
      <w:marBottom w:val="0"/>
      <w:divBdr>
        <w:top w:val="none" w:sz="0" w:space="0" w:color="auto"/>
        <w:left w:val="none" w:sz="0" w:space="0" w:color="auto"/>
        <w:bottom w:val="none" w:sz="0" w:space="0" w:color="auto"/>
        <w:right w:val="none" w:sz="0" w:space="0" w:color="auto"/>
      </w:divBdr>
    </w:div>
    <w:div w:id="172258815">
      <w:bodyDiv w:val="1"/>
      <w:marLeft w:val="0"/>
      <w:marRight w:val="0"/>
      <w:marTop w:val="0"/>
      <w:marBottom w:val="0"/>
      <w:divBdr>
        <w:top w:val="none" w:sz="0" w:space="0" w:color="auto"/>
        <w:left w:val="none" w:sz="0" w:space="0" w:color="auto"/>
        <w:bottom w:val="none" w:sz="0" w:space="0" w:color="auto"/>
        <w:right w:val="none" w:sz="0" w:space="0" w:color="auto"/>
      </w:divBdr>
      <w:divsChild>
        <w:div w:id="1680765929">
          <w:marLeft w:val="0"/>
          <w:marRight w:val="0"/>
          <w:marTop w:val="0"/>
          <w:marBottom w:val="0"/>
          <w:divBdr>
            <w:top w:val="none" w:sz="0" w:space="0" w:color="auto"/>
            <w:left w:val="none" w:sz="0" w:space="0" w:color="auto"/>
            <w:bottom w:val="none" w:sz="0" w:space="0" w:color="auto"/>
            <w:right w:val="none" w:sz="0" w:space="0" w:color="auto"/>
          </w:divBdr>
        </w:div>
        <w:div w:id="1714381824">
          <w:marLeft w:val="-225"/>
          <w:marRight w:val="-225"/>
          <w:marTop w:val="0"/>
          <w:marBottom w:val="0"/>
          <w:divBdr>
            <w:top w:val="none" w:sz="0" w:space="0" w:color="auto"/>
            <w:left w:val="none" w:sz="0" w:space="0" w:color="auto"/>
            <w:bottom w:val="none" w:sz="0" w:space="0" w:color="auto"/>
            <w:right w:val="none" w:sz="0" w:space="0" w:color="auto"/>
          </w:divBdr>
          <w:divsChild>
            <w:div w:id="2002851984">
              <w:marLeft w:val="0"/>
              <w:marRight w:val="0"/>
              <w:marTop w:val="0"/>
              <w:marBottom w:val="0"/>
              <w:divBdr>
                <w:top w:val="none" w:sz="0" w:space="0" w:color="auto"/>
                <w:left w:val="none" w:sz="0" w:space="0" w:color="auto"/>
                <w:bottom w:val="none" w:sz="0" w:space="0" w:color="auto"/>
                <w:right w:val="none" w:sz="0" w:space="0" w:color="auto"/>
              </w:divBdr>
              <w:divsChild>
                <w:div w:id="2073844979">
                  <w:marLeft w:val="-225"/>
                  <w:marRight w:val="-225"/>
                  <w:marTop w:val="0"/>
                  <w:marBottom w:val="0"/>
                  <w:divBdr>
                    <w:top w:val="none" w:sz="0" w:space="0" w:color="auto"/>
                    <w:left w:val="none" w:sz="0" w:space="0" w:color="auto"/>
                    <w:bottom w:val="none" w:sz="0" w:space="0" w:color="auto"/>
                    <w:right w:val="none" w:sz="0" w:space="0" w:color="auto"/>
                  </w:divBdr>
                  <w:divsChild>
                    <w:div w:id="363486968">
                      <w:marLeft w:val="0"/>
                      <w:marRight w:val="0"/>
                      <w:marTop w:val="300"/>
                      <w:marBottom w:val="0"/>
                      <w:divBdr>
                        <w:top w:val="none" w:sz="0" w:space="0" w:color="auto"/>
                        <w:left w:val="none" w:sz="0" w:space="0" w:color="auto"/>
                        <w:bottom w:val="none" w:sz="0" w:space="0" w:color="auto"/>
                        <w:right w:val="none" w:sz="0" w:space="0" w:color="auto"/>
                      </w:divBdr>
                      <w:divsChild>
                        <w:div w:id="13001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39982">
      <w:bodyDiv w:val="1"/>
      <w:marLeft w:val="0"/>
      <w:marRight w:val="0"/>
      <w:marTop w:val="0"/>
      <w:marBottom w:val="0"/>
      <w:divBdr>
        <w:top w:val="none" w:sz="0" w:space="0" w:color="auto"/>
        <w:left w:val="none" w:sz="0" w:space="0" w:color="auto"/>
        <w:bottom w:val="none" w:sz="0" w:space="0" w:color="auto"/>
        <w:right w:val="none" w:sz="0" w:space="0" w:color="auto"/>
      </w:divBdr>
    </w:div>
    <w:div w:id="182406919">
      <w:bodyDiv w:val="1"/>
      <w:marLeft w:val="0"/>
      <w:marRight w:val="0"/>
      <w:marTop w:val="0"/>
      <w:marBottom w:val="0"/>
      <w:divBdr>
        <w:top w:val="none" w:sz="0" w:space="0" w:color="auto"/>
        <w:left w:val="none" w:sz="0" w:space="0" w:color="auto"/>
        <w:bottom w:val="none" w:sz="0" w:space="0" w:color="auto"/>
        <w:right w:val="none" w:sz="0" w:space="0" w:color="auto"/>
      </w:divBdr>
    </w:div>
    <w:div w:id="182518304">
      <w:bodyDiv w:val="1"/>
      <w:marLeft w:val="0"/>
      <w:marRight w:val="0"/>
      <w:marTop w:val="0"/>
      <w:marBottom w:val="0"/>
      <w:divBdr>
        <w:top w:val="none" w:sz="0" w:space="0" w:color="auto"/>
        <w:left w:val="none" w:sz="0" w:space="0" w:color="auto"/>
        <w:bottom w:val="none" w:sz="0" w:space="0" w:color="auto"/>
        <w:right w:val="none" w:sz="0" w:space="0" w:color="auto"/>
      </w:divBdr>
    </w:div>
    <w:div w:id="189530622">
      <w:bodyDiv w:val="1"/>
      <w:marLeft w:val="0"/>
      <w:marRight w:val="0"/>
      <w:marTop w:val="0"/>
      <w:marBottom w:val="0"/>
      <w:divBdr>
        <w:top w:val="none" w:sz="0" w:space="0" w:color="auto"/>
        <w:left w:val="none" w:sz="0" w:space="0" w:color="auto"/>
        <w:bottom w:val="none" w:sz="0" w:space="0" w:color="auto"/>
        <w:right w:val="none" w:sz="0" w:space="0" w:color="auto"/>
      </w:divBdr>
    </w:div>
    <w:div w:id="199632328">
      <w:bodyDiv w:val="1"/>
      <w:marLeft w:val="0"/>
      <w:marRight w:val="0"/>
      <w:marTop w:val="0"/>
      <w:marBottom w:val="0"/>
      <w:divBdr>
        <w:top w:val="none" w:sz="0" w:space="0" w:color="auto"/>
        <w:left w:val="none" w:sz="0" w:space="0" w:color="auto"/>
        <w:bottom w:val="none" w:sz="0" w:space="0" w:color="auto"/>
        <w:right w:val="none" w:sz="0" w:space="0" w:color="auto"/>
      </w:divBdr>
    </w:div>
    <w:div w:id="203057522">
      <w:bodyDiv w:val="1"/>
      <w:marLeft w:val="0"/>
      <w:marRight w:val="0"/>
      <w:marTop w:val="0"/>
      <w:marBottom w:val="0"/>
      <w:divBdr>
        <w:top w:val="none" w:sz="0" w:space="0" w:color="auto"/>
        <w:left w:val="none" w:sz="0" w:space="0" w:color="auto"/>
        <w:bottom w:val="none" w:sz="0" w:space="0" w:color="auto"/>
        <w:right w:val="none" w:sz="0" w:space="0" w:color="auto"/>
      </w:divBdr>
    </w:div>
    <w:div w:id="203099301">
      <w:bodyDiv w:val="1"/>
      <w:marLeft w:val="0"/>
      <w:marRight w:val="0"/>
      <w:marTop w:val="0"/>
      <w:marBottom w:val="0"/>
      <w:divBdr>
        <w:top w:val="none" w:sz="0" w:space="0" w:color="auto"/>
        <w:left w:val="none" w:sz="0" w:space="0" w:color="auto"/>
        <w:bottom w:val="none" w:sz="0" w:space="0" w:color="auto"/>
        <w:right w:val="none" w:sz="0" w:space="0" w:color="auto"/>
      </w:divBdr>
    </w:div>
    <w:div w:id="216825044">
      <w:bodyDiv w:val="1"/>
      <w:marLeft w:val="0"/>
      <w:marRight w:val="0"/>
      <w:marTop w:val="0"/>
      <w:marBottom w:val="0"/>
      <w:divBdr>
        <w:top w:val="none" w:sz="0" w:space="0" w:color="auto"/>
        <w:left w:val="none" w:sz="0" w:space="0" w:color="auto"/>
        <w:bottom w:val="none" w:sz="0" w:space="0" w:color="auto"/>
        <w:right w:val="none" w:sz="0" w:space="0" w:color="auto"/>
      </w:divBdr>
    </w:div>
    <w:div w:id="221797302">
      <w:bodyDiv w:val="1"/>
      <w:marLeft w:val="0"/>
      <w:marRight w:val="0"/>
      <w:marTop w:val="0"/>
      <w:marBottom w:val="0"/>
      <w:divBdr>
        <w:top w:val="none" w:sz="0" w:space="0" w:color="auto"/>
        <w:left w:val="none" w:sz="0" w:space="0" w:color="auto"/>
        <w:bottom w:val="none" w:sz="0" w:space="0" w:color="auto"/>
        <w:right w:val="none" w:sz="0" w:space="0" w:color="auto"/>
      </w:divBdr>
    </w:div>
    <w:div w:id="224026532">
      <w:bodyDiv w:val="1"/>
      <w:marLeft w:val="0"/>
      <w:marRight w:val="0"/>
      <w:marTop w:val="0"/>
      <w:marBottom w:val="0"/>
      <w:divBdr>
        <w:top w:val="none" w:sz="0" w:space="0" w:color="auto"/>
        <w:left w:val="none" w:sz="0" w:space="0" w:color="auto"/>
        <w:bottom w:val="none" w:sz="0" w:space="0" w:color="auto"/>
        <w:right w:val="none" w:sz="0" w:space="0" w:color="auto"/>
      </w:divBdr>
    </w:div>
    <w:div w:id="236482465">
      <w:bodyDiv w:val="1"/>
      <w:marLeft w:val="0"/>
      <w:marRight w:val="0"/>
      <w:marTop w:val="0"/>
      <w:marBottom w:val="0"/>
      <w:divBdr>
        <w:top w:val="none" w:sz="0" w:space="0" w:color="auto"/>
        <w:left w:val="none" w:sz="0" w:space="0" w:color="auto"/>
        <w:bottom w:val="none" w:sz="0" w:space="0" w:color="auto"/>
        <w:right w:val="none" w:sz="0" w:space="0" w:color="auto"/>
      </w:divBdr>
    </w:div>
    <w:div w:id="236789102">
      <w:bodyDiv w:val="1"/>
      <w:marLeft w:val="0"/>
      <w:marRight w:val="0"/>
      <w:marTop w:val="0"/>
      <w:marBottom w:val="0"/>
      <w:divBdr>
        <w:top w:val="none" w:sz="0" w:space="0" w:color="auto"/>
        <w:left w:val="none" w:sz="0" w:space="0" w:color="auto"/>
        <w:bottom w:val="none" w:sz="0" w:space="0" w:color="auto"/>
        <w:right w:val="none" w:sz="0" w:space="0" w:color="auto"/>
      </w:divBdr>
    </w:div>
    <w:div w:id="238640656">
      <w:bodyDiv w:val="1"/>
      <w:marLeft w:val="0"/>
      <w:marRight w:val="0"/>
      <w:marTop w:val="0"/>
      <w:marBottom w:val="0"/>
      <w:divBdr>
        <w:top w:val="none" w:sz="0" w:space="0" w:color="auto"/>
        <w:left w:val="none" w:sz="0" w:space="0" w:color="auto"/>
        <w:bottom w:val="none" w:sz="0" w:space="0" w:color="auto"/>
        <w:right w:val="none" w:sz="0" w:space="0" w:color="auto"/>
      </w:divBdr>
    </w:div>
    <w:div w:id="253247259">
      <w:bodyDiv w:val="1"/>
      <w:marLeft w:val="0"/>
      <w:marRight w:val="0"/>
      <w:marTop w:val="0"/>
      <w:marBottom w:val="0"/>
      <w:divBdr>
        <w:top w:val="none" w:sz="0" w:space="0" w:color="auto"/>
        <w:left w:val="none" w:sz="0" w:space="0" w:color="auto"/>
        <w:bottom w:val="none" w:sz="0" w:space="0" w:color="auto"/>
        <w:right w:val="none" w:sz="0" w:space="0" w:color="auto"/>
      </w:divBdr>
    </w:div>
    <w:div w:id="255214399">
      <w:bodyDiv w:val="1"/>
      <w:marLeft w:val="0"/>
      <w:marRight w:val="0"/>
      <w:marTop w:val="0"/>
      <w:marBottom w:val="0"/>
      <w:divBdr>
        <w:top w:val="none" w:sz="0" w:space="0" w:color="auto"/>
        <w:left w:val="none" w:sz="0" w:space="0" w:color="auto"/>
        <w:bottom w:val="none" w:sz="0" w:space="0" w:color="auto"/>
        <w:right w:val="none" w:sz="0" w:space="0" w:color="auto"/>
      </w:divBdr>
    </w:div>
    <w:div w:id="256719432">
      <w:bodyDiv w:val="1"/>
      <w:marLeft w:val="0"/>
      <w:marRight w:val="0"/>
      <w:marTop w:val="0"/>
      <w:marBottom w:val="0"/>
      <w:divBdr>
        <w:top w:val="none" w:sz="0" w:space="0" w:color="auto"/>
        <w:left w:val="none" w:sz="0" w:space="0" w:color="auto"/>
        <w:bottom w:val="none" w:sz="0" w:space="0" w:color="auto"/>
        <w:right w:val="none" w:sz="0" w:space="0" w:color="auto"/>
      </w:divBdr>
    </w:div>
    <w:div w:id="261306815">
      <w:bodyDiv w:val="1"/>
      <w:marLeft w:val="0"/>
      <w:marRight w:val="0"/>
      <w:marTop w:val="0"/>
      <w:marBottom w:val="0"/>
      <w:divBdr>
        <w:top w:val="none" w:sz="0" w:space="0" w:color="auto"/>
        <w:left w:val="none" w:sz="0" w:space="0" w:color="auto"/>
        <w:bottom w:val="none" w:sz="0" w:space="0" w:color="auto"/>
        <w:right w:val="none" w:sz="0" w:space="0" w:color="auto"/>
      </w:divBdr>
    </w:div>
    <w:div w:id="274291357">
      <w:bodyDiv w:val="1"/>
      <w:marLeft w:val="0"/>
      <w:marRight w:val="0"/>
      <w:marTop w:val="0"/>
      <w:marBottom w:val="0"/>
      <w:divBdr>
        <w:top w:val="none" w:sz="0" w:space="0" w:color="auto"/>
        <w:left w:val="none" w:sz="0" w:space="0" w:color="auto"/>
        <w:bottom w:val="none" w:sz="0" w:space="0" w:color="auto"/>
        <w:right w:val="none" w:sz="0" w:space="0" w:color="auto"/>
      </w:divBdr>
      <w:divsChild>
        <w:div w:id="61025757">
          <w:marLeft w:val="0"/>
          <w:marRight w:val="0"/>
          <w:marTop w:val="0"/>
          <w:marBottom w:val="0"/>
          <w:divBdr>
            <w:top w:val="none" w:sz="0" w:space="0" w:color="auto"/>
            <w:left w:val="none" w:sz="0" w:space="0" w:color="auto"/>
            <w:bottom w:val="none" w:sz="0" w:space="0" w:color="auto"/>
            <w:right w:val="none" w:sz="0" w:space="0" w:color="auto"/>
          </w:divBdr>
        </w:div>
      </w:divsChild>
    </w:div>
    <w:div w:id="280843085">
      <w:bodyDiv w:val="1"/>
      <w:marLeft w:val="0"/>
      <w:marRight w:val="0"/>
      <w:marTop w:val="0"/>
      <w:marBottom w:val="0"/>
      <w:divBdr>
        <w:top w:val="none" w:sz="0" w:space="0" w:color="auto"/>
        <w:left w:val="none" w:sz="0" w:space="0" w:color="auto"/>
        <w:bottom w:val="none" w:sz="0" w:space="0" w:color="auto"/>
        <w:right w:val="none" w:sz="0" w:space="0" w:color="auto"/>
      </w:divBdr>
    </w:div>
    <w:div w:id="287780071">
      <w:bodyDiv w:val="1"/>
      <w:marLeft w:val="0"/>
      <w:marRight w:val="0"/>
      <w:marTop w:val="0"/>
      <w:marBottom w:val="0"/>
      <w:divBdr>
        <w:top w:val="none" w:sz="0" w:space="0" w:color="auto"/>
        <w:left w:val="none" w:sz="0" w:space="0" w:color="auto"/>
        <w:bottom w:val="none" w:sz="0" w:space="0" w:color="auto"/>
        <w:right w:val="none" w:sz="0" w:space="0" w:color="auto"/>
      </w:divBdr>
    </w:div>
    <w:div w:id="289866328">
      <w:bodyDiv w:val="1"/>
      <w:marLeft w:val="0"/>
      <w:marRight w:val="0"/>
      <w:marTop w:val="0"/>
      <w:marBottom w:val="0"/>
      <w:divBdr>
        <w:top w:val="none" w:sz="0" w:space="0" w:color="auto"/>
        <w:left w:val="none" w:sz="0" w:space="0" w:color="auto"/>
        <w:bottom w:val="none" w:sz="0" w:space="0" w:color="auto"/>
        <w:right w:val="none" w:sz="0" w:space="0" w:color="auto"/>
      </w:divBdr>
    </w:div>
    <w:div w:id="295843679">
      <w:bodyDiv w:val="1"/>
      <w:marLeft w:val="0"/>
      <w:marRight w:val="0"/>
      <w:marTop w:val="0"/>
      <w:marBottom w:val="0"/>
      <w:divBdr>
        <w:top w:val="none" w:sz="0" w:space="0" w:color="auto"/>
        <w:left w:val="none" w:sz="0" w:space="0" w:color="auto"/>
        <w:bottom w:val="none" w:sz="0" w:space="0" w:color="auto"/>
        <w:right w:val="none" w:sz="0" w:space="0" w:color="auto"/>
      </w:divBdr>
    </w:div>
    <w:div w:id="296423600">
      <w:bodyDiv w:val="1"/>
      <w:marLeft w:val="0"/>
      <w:marRight w:val="0"/>
      <w:marTop w:val="0"/>
      <w:marBottom w:val="0"/>
      <w:divBdr>
        <w:top w:val="none" w:sz="0" w:space="0" w:color="auto"/>
        <w:left w:val="none" w:sz="0" w:space="0" w:color="auto"/>
        <w:bottom w:val="none" w:sz="0" w:space="0" w:color="auto"/>
        <w:right w:val="none" w:sz="0" w:space="0" w:color="auto"/>
      </w:divBdr>
    </w:div>
    <w:div w:id="303973098">
      <w:bodyDiv w:val="1"/>
      <w:marLeft w:val="0"/>
      <w:marRight w:val="0"/>
      <w:marTop w:val="0"/>
      <w:marBottom w:val="0"/>
      <w:divBdr>
        <w:top w:val="none" w:sz="0" w:space="0" w:color="auto"/>
        <w:left w:val="none" w:sz="0" w:space="0" w:color="auto"/>
        <w:bottom w:val="none" w:sz="0" w:space="0" w:color="auto"/>
        <w:right w:val="none" w:sz="0" w:space="0" w:color="auto"/>
      </w:divBdr>
    </w:div>
    <w:div w:id="321734511">
      <w:bodyDiv w:val="1"/>
      <w:marLeft w:val="0"/>
      <w:marRight w:val="0"/>
      <w:marTop w:val="0"/>
      <w:marBottom w:val="0"/>
      <w:divBdr>
        <w:top w:val="none" w:sz="0" w:space="0" w:color="auto"/>
        <w:left w:val="none" w:sz="0" w:space="0" w:color="auto"/>
        <w:bottom w:val="none" w:sz="0" w:space="0" w:color="auto"/>
        <w:right w:val="none" w:sz="0" w:space="0" w:color="auto"/>
      </w:divBdr>
    </w:div>
    <w:div w:id="321978701">
      <w:bodyDiv w:val="1"/>
      <w:marLeft w:val="0"/>
      <w:marRight w:val="0"/>
      <w:marTop w:val="0"/>
      <w:marBottom w:val="0"/>
      <w:divBdr>
        <w:top w:val="none" w:sz="0" w:space="0" w:color="auto"/>
        <w:left w:val="none" w:sz="0" w:space="0" w:color="auto"/>
        <w:bottom w:val="none" w:sz="0" w:space="0" w:color="auto"/>
        <w:right w:val="none" w:sz="0" w:space="0" w:color="auto"/>
      </w:divBdr>
    </w:div>
    <w:div w:id="361901473">
      <w:bodyDiv w:val="1"/>
      <w:marLeft w:val="0"/>
      <w:marRight w:val="0"/>
      <w:marTop w:val="0"/>
      <w:marBottom w:val="0"/>
      <w:divBdr>
        <w:top w:val="none" w:sz="0" w:space="0" w:color="auto"/>
        <w:left w:val="none" w:sz="0" w:space="0" w:color="auto"/>
        <w:bottom w:val="none" w:sz="0" w:space="0" w:color="auto"/>
        <w:right w:val="none" w:sz="0" w:space="0" w:color="auto"/>
      </w:divBdr>
    </w:div>
    <w:div w:id="365983251">
      <w:bodyDiv w:val="1"/>
      <w:marLeft w:val="0"/>
      <w:marRight w:val="0"/>
      <w:marTop w:val="0"/>
      <w:marBottom w:val="0"/>
      <w:divBdr>
        <w:top w:val="none" w:sz="0" w:space="0" w:color="auto"/>
        <w:left w:val="none" w:sz="0" w:space="0" w:color="auto"/>
        <w:bottom w:val="none" w:sz="0" w:space="0" w:color="auto"/>
        <w:right w:val="none" w:sz="0" w:space="0" w:color="auto"/>
      </w:divBdr>
    </w:div>
    <w:div w:id="376665265">
      <w:bodyDiv w:val="1"/>
      <w:marLeft w:val="0"/>
      <w:marRight w:val="0"/>
      <w:marTop w:val="0"/>
      <w:marBottom w:val="0"/>
      <w:divBdr>
        <w:top w:val="none" w:sz="0" w:space="0" w:color="auto"/>
        <w:left w:val="none" w:sz="0" w:space="0" w:color="auto"/>
        <w:bottom w:val="none" w:sz="0" w:space="0" w:color="auto"/>
        <w:right w:val="none" w:sz="0" w:space="0" w:color="auto"/>
      </w:divBdr>
    </w:div>
    <w:div w:id="378475393">
      <w:bodyDiv w:val="1"/>
      <w:marLeft w:val="0"/>
      <w:marRight w:val="0"/>
      <w:marTop w:val="0"/>
      <w:marBottom w:val="0"/>
      <w:divBdr>
        <w:top w:val="none" w:sz="0" w:space="0" w:color="auto"/>
        <w:left w:val="none" w:sz="0" w:space="0" w:color="auto"/>
        <w:bottom w:val="none" w:sz="0" w:space="0" w:color="auto"/>
        <w:right w:val="none" w:sz="0" w:space="0" w:color="auto"/>
      </w:divBdr>
    </w:div>
    <w:div w:id="380636114">
      <w:bodyDiv w:val="1"/>
      <w:marLeft w:val="0"/>
      <w:marRight w:val="0"/>
      <w:marTop w:val="0"/>
      <w:marBottom w:val="0"/>
      <w:divBdr>
        <w:top w:val="none" w:sz="0" w:space="0" w:color="auto"/>
        <w:left w:val="none" w:sz="0" w:space="0" w:color="auto"/>
        <w:bottom w:val="none" w:sz="0" w:space="0" w:color="auto"/>
        <w:right w:val="none" w:sz="0" w:space="0" w:color="auto"/>
      </w:divBdr>
    </w:div>
    <w:div w:id="380862159">
      <w:bodyDiv w:val="1"/>
      <w:marLeft w:val="0"/>
      <w:marRight w:val="0"/>
      <w:marTop w:val="0"/>
      <w:marBottom w:val="0"/>
      <w:divBdr>
        <w:top w:val="none" w:sz="0" w:space="0" w:color="auto"/>
        <w:left w:val="none" w:sz="0" w:space="0" w:color="auto"/>
        <w:bottom w:val="none" w:sz="0" w:space="0" w:color="auto"/>
        <w:right w:val="none" w:sz="0" w:space="0" w:color="auto"/>
      </w:divBdr>
    </w:div>
    <w:div w:id="384455591">
      <w:bodyDiv w:val="1"/>
      <w:marLeft w:val="0"/>
      <w:marRight w:val="0"/>
      <w:marTop w:val="0"/>
      <w:marBottom w:val="0"/>
      <w:divBdr>
        <w:top w:val="none" w:sz="0" w:space="0" w:color="auto"/>
        <w:left w:val="none" w:sz="0" w:space="0" w:color="auto"/>
        <w:bottom w:val="none" w:sz="0" w:space="0" w:color="auto"/>
        <w:right w:val="none" w:sz="0" w:space="0" w:color="auto"/>
      </w:divBdr>
    </w:div>
    <w:div w:id="392435643">
      <w:bodyDiv w:val="1"/>
      <w:marLeft w:val="0"/>
      <w:marRight w:val="0"/>
      <w:marTop w:val="0"/>
      <w:marBottom w:val="0"/>
      <w:divBdr>
        <w:top w:val="none" w:sz="0" w:space="0" w:color="auto"/>
        <w:left w:val="none" w:sz="0" w:space="0" w:color="auto"/>
        <w:bottom w:val="none" w:sz="0" w:space="0" w:color="auto"/>
        <w:right w:val="none" w:sz="0" w:space="0" w:color="auto"/>
      </w:divBdr>
    </w:div>
    <w:div w:id="392781590">
      <w:bodyDiv w:val="1"/>
      <w:marLeft w:val="0"/>
      <w:marRight w:val="0"/>
      <w:marTop w:val="0"/>
      <w:marBottom w:val="0"/>
      <w:divBdr>
        <w:top w:val="none" w:sz="0" w:space="0" w:color="auto"/>
        <w:left w:val="none" w:sz="0" w:space="0" w:color="auto"/>
        <w:bottom w:val="none" w:sz="0" w:space="0" w:color="auto"/>
        <w:right w:val="none" w:sz="0" w:space="0" w:color="auto"/>
      </w:divBdr>
    </w:div>
    <w:div w:id="397171128">
      <w:bodyDiv w:val="1"/>
      <w:marLeft w:val="0"/>
      <w:marRight w:val="0"/>
      <w:marTop w:val="0"/>
      <w:marBottom w:val="0"/>
      <w:divBdr>
        <w:top w:val="none" w:sz="0" w:space="0" w:color="auto"/>
        <w:left w:val="none" w:sz="0" w:space="0" w:color="auto"/>
        <w:bottom w:val="none" w:sz="0" w:space="0" w:color="auto"/>
        <w:right w:val="none" w:sz="0" w:space="0" w:color="auto"/>
      </w:divBdr>
    </w:div>
    <w:div w:id="409809820">
      <w:bodyDiv w:val="1"/>
      <w:marLeft w:val="0"/>
      <w:marRight w:val="0"/>
      <w:marTop w:val="0"/>
      <w:marBottom w:val="0"/>
      <w:divBdr>
        <w:top w:val="none" w:sz="0" w:space="0" w:color="auto"/>
        <w:left w:val="none" w:sz="0" w:space="0" w:color="auto"/>
        <w:bottom w:val="none" w:sz="0" w:space="0" w:color="auto"/>
        <w:right w:val="none" w:sz="0" w:space="0" w:color="auto"/>
      </w:divBdr>
    </w:div>
    <w:div w:id="414059995">
      <w:bodyDiv w:val="1"/>
      <w:marLeft w:val="0"/>
      <w:marRight w:val="0"/>
      <w:marTop w:val="0"/>
      <w:marBottom w:val="0"/>
      <w:divBdr>
        <w:top w:val="none" w:sz="0" w:space="0" w:color="auto"/>
        <w:left w:val="none" w:sz="0" w:space="0" w:color="auto"/>
        <w:bottom w:val="none" w:sz="0" w:space="0" w:color="auto"/>
        <w:right w:val="none" w:sz="0" w:space="0" w:color="auto"/>
      </w:divBdr>
    </w:div>
    <w:div w:id="414321298">
      <w:bodyDiv w:val="1"/>
      <w:marLeft w:val="0"/>
      <w:marRight w:val="0"/>
      <w:marTop w:val="0"/>
      <w:marBottom w:val="0"/>
      <w:divBdr>
        <w:top w:val="none" w:sz="0" w:space="0" w:color="auto"/>
        <w:left w:val="none" w:sz="0" w:space="0" w:color="auto"/>
        <w:bottom w:val="none" w:sz="0" w:space="0" w:color="auto"/>
        <w:right w:val="none" w:sz="0" w:space="0" w:color="auto"/>
      </w:divBdr>
    </w:div>
    <w:div w:id="421030232">
      <w:bodyDiv w:val="1"/>
      <w:marLeft w:val="0"/>
      <w:marRight w:val="0"/>
      <w:marTop w:val="0"/>
      <w:marBottom w:val="0"/>
      <w:divBdr>
        <w:top w:val="none" w:sz="0" w:space="0" w:color="auto"/>
        <w:left w:val="none" w:sz="0" w:space="0" w:color="auto"/>
        <w:bottom w:val="none" w:sz="0" w:space="0" w:color="auto"/>
        <w:right w:val="none" w:sz="0" w:space="0" w:color="auto"/>
      </w:divBdr>
    </w:div>
    <w:div w:id="426729323">
      <w:bodyDiv w:val="1"/>
      <w:marLeft w:val="0"/>
      <w:marRight w:val="0"/>
      <w:marTop w:val="0"/>
      <w:marBottom w:val="0"/>
      <w:divBdr>
        <w:top w:val="none" w:sz="0" w:space="0" w:color="auto"/>
        <w:left w:val="none" w:sz="0" w:space="0" w:color="auto"/>
        <w:bottom w:val="none" w:sz="0" w:space="0" w:color="auto"/>
        <w:right w:val="none" w:sz="0" w:space="0" w:color="auto"/>
      </w:divBdr>
    </w:div>
    <w:div w:id="427241438">
      <w:bodyDiv w:val="1"/>
      <w:marLeft w:val="0"/>
      <w:marRight w:val="0"/>
      <w:marTop w:val="0"/>
      <w:marBottom w:val="0"/>
      <w:divBdr>
        <w:top w:val="none" w:sz="0" w:space="0" w:color="auto"/>
        <w:left w:val="none" w:sz="0" w:space="0" w:color="auto"/>
        <w:bottom w:val="none" w:sz="0" w:space="0" w:color="auto"/>
        <w:right w:val="none" w:sz="0" w:space="0" w:color="auto"/>
      </w:divBdr>
    </w:div>
    <w:div w:id="429588902">
      <w:bodyDiv w:val="1"/>
      <w:marLeft w:val="0"/>
      <w:marRight w:val="0"/>
      <w:marTop w:val="0"/>
      <w:marBottom w:val="0"/>
      <w:divBdr>
        <w:top w:val="none" w:sz="0" w:space="0" w:color="auto"/>
        <w:left w:val="none" w:sz="0" w:space="0" w:color="auto"/>
        <w:bottom w:val="none" w:sz="0" w:space="0" w:color="auto"/>
        <w:right w:val="none" w:sz="0" w:space="0" w:color="auto"/>
      </w:divBdr>
    </w:div>
    <w:div w:id="431630036">
      <w:bodyDiv w:val="1"/>
      <w:marLeft w:val="0"/>
      <w:marRight w:val="0"/>
      <w:marTop w:val="0"/>
      <w:marBottom w:val="0"/>
      <w:divBdr>
        <w:top w:val="none" w:sz="0" w:space="0" w:color="auto"/>
        <w:left w:val="none" w:sz="0" w:space="0" w:color="auto"/>
        <w:bottom w:val="none" w:sz="0" w:space="0" w:color="auto"/>
        <w:right w:val="none" w:sz="0" w:space="0" w:color="auto"/>
      </w:divBdr>
    </w:div>
    <w:div w:id="436826501">
      <w:bodyDiv w:val="1"/>
      <w:marLeft w:val="0"/>
      <w:marRight w:val="0"/>
      <w:marTop w:val="0"/>
      <w:marBottom w:val="0"/>
      <w:divBdr>
        <w:top w:val="none" w:sz="0" w:space="0" w:color="auto"/>
        <w:left w:val="none" w:sz="0" w:space="0" w:color="auto"/>
        <w:bottom w:val="none" w:sz="0" w:space="0" w:color="auto"/>
        <w:right w:val="none" w:sz="0" w:space="0" w:color="auto"/>
      </w:divBdr>
    </w:div>
    <w:div w:id="443769350">
      <w:bodyDiv w:val="1"/>
      <w:marLeft w:val="0"/>
      <w:marRight w:val="0"/>
      <w:marTop w:val="0"/>
      <w:marBottom w:val="0"/>
      <w:divBdr>
        <w:top w:val="none" w:sz="0" w:space="0" w:color="auto"/>
        <w:left w:val="none" w:sz="0" w:space="0" w:color="auto"/>
        <w:bottom w:val="none" w:sz="0" w:space="0" w:color="auto"/>
        <w:right w:val="none" w:sz="0" w:space="0" w:color="auto"/>
      </w:divBdr>
    </w:div>
    <w:div w:id="462698625">
      <w:bodyDiv w:val="1"/>
      <w:marLeft w:val="0"/>
      <w:marRight w:val="0"/>
      <w:marTop w:val="0"/>
      <w:marBottom w:val="0"/>
      <w:divBdr>
        <w:top w:val="none" w:sz="0" w:space="0" w:color="auto"/>
        <w:left w:val="none" w:sz="0" w:space="0" w:color="auto"/>
        <w:bottom w:val="none" w:sz="0" w:space="0" w:color="auto"/>
        <w:right w:val="none" w:sz="0" w:space="0" w:color="auto"/>
      </w:divBdr>
    </w:div>
    <w:div w:id="464349153">
      <w:bodyDiv w:val="1"/>
      <w:marLeft w:val="0"/>
      <w:marRight w:val="0"/>
      <w:marTop w:val="0"/>
      <w:marBottom w:val="0"/>
      <w:divBdr>
        <w:top w:val="none" w:sz="0" w:space="0" w:color="auto"/>
        <w:left w:val="none" w:sz="0" w:space="0" w:color="auto"/>
        <w:bottom w:val="none" w:sz="0" w:space="0" w:color="auto"/>
        <w:right w:val="none" w:sz="0" w:space="0" w:color="auto"/>
      </w:divBdr>
    </w:div>
    <w:div w:id="486017338">
      <w:bodyDiv w:val="1"/>
      <w:marLeft w:val="0"/>
      <w:marRight w:val="0"/>
      <w:marTop w:val="0"/>
      <w:marBottom w:val="0"/>
      <w:divBdr>
        <w:top w:val="none" w:sz="0" w:space="0" w:color="auto"/>
        <w:left w:val="none" w:sz="0" w:space="0" w:color="auto"/>
        <w:bottom w:val="none" w:sz="0" w:space="0" w:color="auto"/>
        <w:right w:val="none" w:sz="0" w:space="0" w:color="auto"/>
      </w:divBdr>
    </w:div>
    <w:div w:id="486438495">
      <w:bodyDiv w:val="1"/>
      <w:marLeft w:val="0"/>
      <w:marRight w:val="0"/>
      <w:marTop w:val="0"/>
      <w:marBottom w:val="0"/>
      <w:divBdr>
        <w:top w:val="none" w:sz="0" w:space="0" w:color="auto"/>
        <w:left w:val="none" w:sz="0" w:space="0" w:color="auto"/>
        <w:bottom w:val="none" w:sz="0" w:space="0" w:color="auto"/>
        <w:right w:val="none" w:sz="0" w:space="0" w:color="auto"/>
      </w:divBdr>
    </w:div>
    <w:div w:id="494343943">
      <w:bodyDiv w:val="1"/>
      <w:marLeft w:val="0"/>
      <w:marRight w:val="0"/>
      <w:marTop w:val="0"/>
      <w:marBottom w:val="0"/>
      <w:divBdr>
        <w:top w:val="none" w:sz="0" w:space="0" w:color="auto"/>
        <w:left w:val="none" w:sz="0" w:space="0" w:color="auto"/>
        <w:bottom w:val="none" w:sz="0" w:space="0" w:color="auto"/>
        <w:right w:val="none" w:sz="0" w:space="0" w:color="auto"/>
      </w:divBdr>
    </w:div>
    <w:div w:id="495271345">
      <w:bodyDiv w:val="1"/>
      <w:marLeft w:val="0"/>
      <w:marRight w:val="0"/>
      <w:marTop w:val="0"/>
      <w:marBottom w:val="0"/>
      <w:divBdr>
        <w:top w:val="none" w:sz="0" w:space="0" w:color="auto"/>
        <w:left w:val="none" w:sz="0" w:space="0" w:color="auto"/>
        <w:bottom w:val="none" w:sz="0" w:space="0" w:color="auto"/>
        <w:right w:val="none" w:sz="0" w:space="0" w:color="auto"/>
      </w:divBdr>
    </w:div>
    <w:div w:id="513812587">
      <w:bodyDiv w:val="1"/>
      <w:marLeft w:val="0"/>
      <w:marRight w:val="0"/>
      <w:marTop w:val="0"/>
      <w:marBottom w:val="0"/>
      <w:divBdr>
        <w:top w:val="none" w:sz="0" w:space="0" w:color="auto"/>
        <w:left w:val="none" w:sz="0" w:space="0" w:color="auto"/>
        <w:bottom w:val="none" w:sz="0" w:space="0" w:color="auto"/>
        <w:right w:val="none" w:sz="0" w:space="0" w:color="auto"/>
      </w:divBdr>
    </w:div>
    <w:div w:id="516843845">
      <w:bodyDiv w:val="1"/>
      <w:marLeft w:val="0"/>
      <w:marRight w:val="0"/>
      <w:marTop w:val="0"/>
      <w:marBottom w:val="0"/>
      <w:divBdr>
        <w:top w:val="none" w:sz="0" w:space="0" w:color="auto"/>
        <w:left w:val="none" w:sz="0" w:space="0" w:color="auto"/>
        <w:bottom w:val="none" w:sz="0" w:space="0" w:color="auto"/>
        <w:right w:val="none" w:sz="0" w:space="0" w:color="auto"/>
      </w:divBdr>
    </w:div>
    <w:div w:id="520164530">
      <w:bodyDiv w:val="1"/>
      <w:marLeft w:val="0"/>
      <w:marRight w:val="0"/>
      <w:marTop w:val="0"/>
      <w:marBottom w:val="0"/>
      <w:divBdr>
        <w:top w:val="none" w:sz="0" w:space="0" w:color="auto"/>
        <w:left w:val="none" w:sz="0" w:space="0" w:color="auto"/>
        <w:bottom w:val="none" w:sz="0" w:space="0" w:color="auto"/>
        <w:right w:val="none" w:sz="0" w:space="0" w:color="auto"/>
      </w:divBdr>
    </w:div>
    <w:div w:id="529101512">
      <w:bodyDiv w:val="1"/>
      <w:marLeft w:val="0"/>
      <w:marRight w:val="0"/>
      <w:marTop w:val="0"/>
      <w:marBottom w:val="0"/>
      <w:divBdr>
        <w:top w:val="none" w:sz="0" w:space="0" w:color="auto"/>
        <w:left w:val="none" w:sz="0" w:space="0" w:color="auto"/>
        <w:bottom w:val="none" w:sz="0" w:space="0" w:color="auto"/>
        <w:right w:val="none" w:sz="0" w:space="0" w:color="auto"/>
      </w:divBdr>
    </w:div>
    <w:div w:id="539628663">
      <w:bodyDiv w:val="1"/>
      <w:marLeft w:val="0"/>
      <w:marRight w:val="0"/>
      <w:marTop w:val="0"/>
      <w:marBottom w:val="0"/>
      <w:divBdr>
        <w:top w:val="none" w:sz="0" w:space="0" w:color="auto"/>
        <w:left w:val="none" w:sz="0" w:space="0" w:color="auto"/>
        <w:bottom w:val="none" w:sz="0" w:space="0" w:color="auto"/>
        <w:right w:val="none" w:sz="0" w:space="0" w:color="auto"/>
      </w:divBdr>
    </w:div>
    <w:div w:id="545068994">
      <w:bodyDiv w:val="1"/>
      <w:marLeft w:val="0"/>
      <w:marRight w:val="0"/>
      <w:marTop w:val="0"/>
      <w:marBottom w:val="0"/>
      <w:divBdr>
        <w:top w:val="none" w:sz="0" w:space="0" w:color="auto"/>
        <w:left w:val="none" w:sz="0" w:space="0" w:color="auto"/>
        <w:bottom w:val="none" w:sz="0" w:space="0" w:color="auto"/>
        <w:right w:val="none" w:sz="0" w:space="0" w:color="auto"/>
      </w:divBdr>
    </w:div>
    <w:div w:id="549926958">
      <w:bodyDiv w:val="1"/>
      <w:marLeft w:val="0"/>
      <w:marRight w:val="0"/>
      <w:marTop w:val="0"/>
      <w:marBottom w:val="0"/>
      <w:divBdr>
        <w:top w:val="none" w:sz="0" w:space="0" w:color="auto"/>
        <w:left w:val="none" w:sz="0" w:space="0" w:color="auto"/>
        <w:bottom w:val="none" w:sz="0" w:space="0" w:color="auto"/>
        <w:right w:val="none" w:sz="0" w:space="0" w:color="auto"/>
      </w:divBdr>
    </w:div>
    <w:div w:id="555168595">
      <w:bodyDiv w:val="1"/>
      <w:marLeft w:val="0"/>
      <w:marRight w:val="0"/>
      <w:marTop w:val="0"/>
      <w:marBottom w:val="0"/>
      <w:divBdr>
        <w:top w:val="none" w:sz="0" w:space="0" w:color="auto"/>
        <w:left w:val="none" w:sz="0" w:space="0" w:color="auto"/>
        <w:bottom w:val="none" w:sz="0" w:space="0" w:color="auto"/>
        <w:right w:val="none" w:sz="0" w:space="0" w:color="auto"/>
      </w:divBdr>
    </w:div>
    <w:div w:id="557085183">
      <w:bodyDiv w:val="1"/>
      <w:marLeft w:val="0"/>
      <w:marRight w:val="0"/>
      <w:marTop w:val="0"/>
      <w:marBottom w:val="0"/>
      <w:divBdr>
        <w:top w:val="none" w:sz="0" w:space="0" w:color="auto"/>
        <w:left w:val="none" w:sz="0" w:space="0" w:color="auto"/>
        <w:bottom w:val="none" w:sz="0" w:space="0" w:color="auto"/>
        <w:right w:val="none" w:sz="0" w:space="0" w:color="auto"/>
      </w:divBdr>
    </w:div>
    <w:div w:id="557592998">
      <w:bodyDiv w:val="1"/>
      <w:marLeft w:val="0"/>
      <w:marRight w:val="0"/>
      <w:marTop w:val="0"/>
      <w:marBottom w:val="0"/>
      <w:divBdr>
        <w:top w:val="none" w:sz="0" w:space="0" w:color="auto"/>
        <w:left w:val="none" w:sz="0" w:space="0" w:color="auto"/>
        <w:bottom w:val="none" w:sz="0" w:space="0" w:color="auto"/>
        <w:right w:val="none" w:sz="0" w:space="0" w:color="auto"/>
      </w:divBdr>
    </w:div>
    <w:div w:id="557981031">
      <w:bodyDiv w:val="1"/>
      <w:marLeft w:val="0"/>
      <w:marRight w:val="0"/>
      <w:marTop w:val="0"/>
      <w:marBottom w:val="0"/>
      <w:divBdr>
        <w:top w:val="none" w:sz="0" w:space="0" w:color="auto"/>
        <w:left w:val="none" w:sz="0" w:space="0" w:color="auto"/>
        <w:bottom w:val="none" w:sz="0" w:space="0" w:color="auto"/>
        <w:right w:val="none" w:sz="0" w:space="0" w:color="auto"/>
      </w:divBdr>
    </w:div>
    <w:div w:id="592320368">
      <w:bodyDiv w:val="1"/>
      <w:marLeft w:val="0"/>
      <w:marRight w:val="0"/>
      <w:marTop w:val="0"/>
      <w:marBottom w:val="0"/>
      <w:divBdr>
        <w:top w:val="none" w:sz="0" w:space="0" w:color="auto"/>
        <w:left w:val="none" w:sz="0" w:space="0" w:color="auto"/>
        <w:bottom w:val="none" w:sz="0" w:space="0" w:color="auto"/>
        <w:right w:val="none" w:sz="0" w:space="0" w:color="auto"/>
      </w:divBdr>
    </w:div>
    <w:div w:id="592862089">
      <w:bodyDiv w:val="1"/>
      <w:marLeft w:val="0"/>
      <w:marRight w:val="0"/>
      <w:marTop w:val="0"/>
      <w:marBottom w:val="0"/>
      <w:divBdr>
        <w:top w:val="none" w:sz="0" w:space="0" w:color="auto"/>
        <w:left w:val="none" w:sz="0" w:space="0" w:color="auto"/>
        <w:bottom w:val="none" w:sz="0" w:space="0" w:color="auto"/>
        <w:right w:val="none" w:sz="0" w:space="0" w:color="auto"/>
      </w:divBdr>
    </w:div>
    <w:div w:id="593514198">
      <w:bodyDiv w:val="1"/>
      <w:marLeft w:val="0"/>
      <w:marRight w:val="0"/>
      <w:marTop w:val="0"/>
      <w:marBottom w:val="0"/>
      <w:divBdr>
        <w:top w:val="none" w:sz="0" w:space="0" w:color="auto"/>
        <w:left w:val="none" w:sz="0" w:space="0" w:color="auto"/>
        <w:bottom w:val="none" w:sz="0" w:space="0" w:color="auto"/>
        <w:right w:val="none" w:sz="0" w:space="0" w:color="auto"/>
      </w:divBdr>
    </w:div>
    <w:div w:id="598565050">
      <w:bodyDiv w:val="1"/>
      <w:marLeft w:val="0"/>
      <w:marRight w:val="0"/>
      <w:marTop w:val="0"/>
      <w:marBottom w:val="0"/>
      <w:divBdr>
        <w:top w:val="none" w:sz="0" w:space="0" w:color="auto"/>
        <w:left w:val="none" w:sz="0" w:space="0" w:color="auto"/>
        <w:bottom w:val="none" w:sz="0" w:space="0" w:color="auto"/>
        <w:right w:val="none" w:sz="0" w:space="0" w:color="auto"/>
      </w:divBdr>
    </w:div>
    <w:div w:id="607737531">
      <w:bodyDiv w:val="1"/>
      <w:marLeft w:val="0"/>
      <w:marRight w:val="0"/>
      <w:marTop w:val="0"/>
      <w:marBottom w:val="0"/>
      <w:divBdr>
        <w:top w:val="none" w:sz="0" w:space="0" w:color="auto"/>
        <w:left w:val="none" w:sz="0" w:space="0" w:color="auto"/>
        <w:bottom w:val="none" w:sz="0" w:space="0" w:color="auto"/>
        <w:right w:val="none" w:sz="0" w:space="0" w:color="auto"/>
      </w:divBdr>
    </w:div>
    <w:div w:id="617445505">
      <w:bodyDiv w:val="1"/>
      <w:marLeft w:val="0"/>
      <w:marRight w:val="0"/>
      <w:marTop w:val="0"/>
      <w:marBottom w:val="0"/>
      <w:divBdr>
        <w:top w:val="none" w:sz="0" w:space="0" w:color="auto"/>
        <w:left w:val="none" w:sz="0" w:space="0" w:color="auto"/>
        <w:bottom w:val="none" w:sz="0" w:space="0" w:color="auto"/>
        <w:right w:val="none" w:sz="0" w:space="0" w:color="auto"/>
      </w:divBdr>
    </w:div>
    <w:div w:id="625626590">
      <w:bodyDiv w:val="1"/>
      <w:marLeft w:val="0"/>
      <w:marRight w:val="0"/>
      <w:marTop w:val="0"/>
      <w:marBottom w:val="0"/>
      <w:divBdr>
        <w:top w:val="none" w:sz="0" w:space="0" w:color="auto"/>
        <w:left w:val="none" w:sz="0" w:space="0" w:color="auto"/>
        <w:bottom w:val="none" w:sz="0" w:space="0" w:color="auto"/>
        <w:right w:val="none" w:sz="0" w:space="0" w:color="auto"/>
      </w:divBdr>
    </w:div>
    <w:div w:id="625893402">
      <w:bodyDiv w:val="1"/>
      <w:marLeft w:val="0"/>
      <w:marRight w:val="0"/>
      <w:marTop w:val="0"/>
      <w:marBottom w:val="0"/>
      <w:divBdr>
        <w:top w:val="none" w:sz="0" w:space="0" w:color="auto"/>
        <w:left w:val="none" w:sz="0" w:space="0" w:color="auto"/>
        <w:bottom w:val="none" w:sz="0" w:space="0" w:color="auto"/>
        <w:right w:val="none" w:sz="0" w:space="0" w:color="auto"/>
      </w:divBdr>
    </w:div>
    <w:div w:id="628557028">
      <w:bodyDiv w:val="1"/>
      <w:marLeft w:val="0"/>
      <w:marRight w:val="0"/>
      <w:marTop w:val="0"/>
      <w:marBottom w:val="0"/>
      <w:divBdr>
        <w:top w:val="none" w:sz="0" w:space="0" w:color="auto"/>
        <w:left w:val="none" w:sz="0" w:space="0" w:color="auto"/>
        <w:bottom w:val="none" w:sz="0" w:space="0" w:color="auto"/>
        <w:right w:val="none" w:sz="0" w:space="0" w:color="auto"/>
      </w:divBdr>
    </w:div>
    <w:div w:id="634601433">
      <w:bodyDiv w:val="1"/>
      <w:marLeft w:val="0"/>
      <w:marRight w:val="0"/>
      <w:marTop w:val="0"/>
      <w:marBottom w:val="0"/>
      <w:divBdr>
        <w:top w:val="none" w:sz="0" w:space="0" w:color="auto"/>
        <w:left w:val="none" w:sz="0" w:space="0" w:color="auto"/>
        <w:bottom w:val="none" w:sz="0" w:space="0" w:color="auto"/>
        <w:right w:val="none" w:sz="0" w:space="0" w:color="auto"/>
      </w:divBdr>
    </w:div>
    <w:div w:id="637415756">
      <w:bodyDiv w:val="1"/>
      <w:marLeft w:val="0"/>
      <w:marRight w:val="0"/>
      <w:marTop w:val="0"/>
      <w:marBottom w:val="0"/>
      <w:divBdr>
        <w:top w:val="none" w:sz="0" w:space="0" w:color="auto"/>
        <w:left w:val="none" w:sz="0" w:space="0" w:color="auto"/>
        <w:bottom w:val="none" w:sz="0" w:space="0" w:color="auto"/>
        <w:right w:val="none" w:sz="0" w:space="0" w:color="auto"/>
      </w:divBdr>
    </w:div>
    <w:div w:id="638801252">
      <w:bodyDiv w:val="1"/>
      <w:marLeft w:val="0"/>
      <w:marRight w:val="0"/>
      <w:marTop w:val="0"/>
      <w:marBottom w:val="0"/>
      <w:divBdr>
        <w:top w:val="none" w:sz="0" w:space="0" w:color="auto"/>
        <w:left w:val="none" w:sz="0" w:space="0" w:color="auto"/>
        <w:bottom w:val="none" w:sz="0" w:space="0" w:color="auto"/>
        <w:right w:val="none" w:sz="0" w:space="0" w:color="auto"/>
      </w:divBdr>
    </w:div>
    <w:div w:id="638923706">
      <w:bodyDiv w:val="1"/>
      <w:marLeft w:val="0"/>
      <w:marRight w:val="0"/>
      <w:marTop w:val="0"/>
      <w:marBottom w:val="0"/>
      <w:divBdr>
        <w:top w:val="none" w:sz="0" w:space="0" w:color="auto"/>
        <w:left w:val="none" w:sz="0" w:space="0" w:color="auto"/>
        <w:bottom w:val="none" w:sz="0" w:space="0" w:color="auto"/>
        <w:right w:val="none" w:sz="0" w:space="0" w:color="auto"/>
      </w:divBdr>
    </w:div>
    <w:div w:id="641690903">
      <w:bodyDiv w:val="1"/>
      <w:marLeft w:val="0"/>
      <w:marRight w:val="0"/>
      <w:marTop w:val="0"/>
      <w:marBottom w:val="0"/>
      <w:divBdr>
        <w:top w:val="none" w:sz="0" w:space="0" w:color="auto"/>
        <w:left w:val="none" w:sz="0" w:space="0" w:color="auto"/>
        <w:bottom w:val="none" w:sz="0" w:space="0" w:color="auto"/>
        <w:right w:val="none" w:sz="0" w:space="0" w:color="auto"/>
      </w:divBdr>
    </w:div>
    <w:div w:id="651757679">
      <w:bodyDiv w:val="1"/>
      <w:marLeft w:val="0"/>
      <w:marRight w:val="0"/>
      <w:marTop w:val="0"/>
      <w:marBottom w:val="0"/>
      <w:divBdr>
        <w:top w:val="none" w:sz="0" w:space="0" w:color="auto"/>
        <w:left w:val="none" w:sz="0" w:space="0" w:color="auto"/>
        <w:bottom w:val="none" w:sz="0" w:space="0" w:color="auto"/>
        <w:right w:val="none" w:sz="0" w:space="0" w:color="auto"/>
      </w:divBdr>
    </w:div>
    <w:div w:id="652100824">
      <w:bodyDiv w:val="1"/>
      <w:marLeft w:val="0"/>
      <w:marRight w:val="0"/>
      <w:marTop w:val="0"/>
      <w:marBottom w:val="0"/>
      <w:divBdr>
        <w:top w:val="none" w:sz="0" w:space="0" w:color="auto"/>
        <w:left w:val="none" w:sz="0" w:space="0" w:color="auto"/>
        <w:bottom w:val="none" w:sz="0" w:space="0" w:color="auto"/>
        <w:right w:val="none" w:sz="0" w:space="0" w:color="auto"/>
      </w:divBdr>
    </w:div>
    <w:div w:id="653727074">
      <w:bodyDiv w:val="1"/>
      <w:marLeft w:val="0"/>
      <w:marRight w:val="0"/>
      <w:marTop w:val="0"/>
      <w:marBottom w:val="0"/>
      <w:divBdr>
        <w:top w:val="none" w:sz="0" w:space="0" w:color="auto"/>
        <w:left w:val="none" w:sz="0" w:space="0" w:color="auto"/>
        <w:bottom w:val="none" w:sz="0" w:space="0" w:color="auto"/>
        <w:right w:val="none" w:sz="0" w:space="0" w:color="auto"/>
      </w:divBdr>
    </w:div>
    <w:div w:id="655837747">
      <w:bodyDiv w:val="1"/>
      <w:marLeft w:val="0"/>
      <w:marRight w:val="0"/>
      <w:marTop w:val="0"/>
      <w:marBottom w:val="0"/>
      <w:divBdr>
        <w:top w:val="none" w:sz="0" w:space="0" w:color="auto"/>
        <w:left w:val="none" w:sz="0" w:space="0" w:color="auto"/>
        <w:bottom w:val="none" w:sz="0" w:space="0" w:color="auto"/>
        <w:right w:val="none" w:sz="0" w:space="0" w:color="auto"/>
      </w:divBdr>
    </w:div>
    <w:div w:id="656038539">
      <w:bodyDiv w:val="1"/>
      <w:marLeft w:val="0"/>
      <w:marRight w:val="0"/>
      <w:marTop w:val="0"/>
      <w:marBottom w:val="0"/>
      <w:divBdr>
        <w:top w:val="none" w:sz="0" w:space="0" w:color="auto"/>
        <w:left w:val="none" w:sz="0" w:space="0" w:color="auto"/>
        <w:bottom w:val="none" w:sz="0" w:space="0" w:color="auto"/>
        <w:right w:val="none" w:sz="0" w:space="0" w:color="auto"/>
      </w:divBdr>
    </w:div>
    <w:div w:id="657151638">
      <w:bodyDiv w:val="1"/>
      <w:marLeft w:val="0"/>
      <w:marRight w:val="0"/>
      <w:marTop w:val="0"/>
      <w:marBottom w:val="0"/>
      <w:divBdr>
        <w:top w:val="none" w:sz="0" w:space="0" w:color="auto"/>
        <w:left w:val="none" w:sz="0" w:space="0" w:color="auto"/>
        <w:bottom w:val="none" w:sz="0" w:space="0" w:color="auto"/>
        <w:right w:val="none" w:sz="0" w:space="0" w:color="auto"/>
      </w:divBdr>
    </w:div>
    <w:div w:id="660036777">
      <w:bodyDiv w:val="1"/>
      <w:marLeft w:val="0"/>
      <w:marRight w:val="0"/>
      <w:marTop w:val="0"/>
      <w:marBottom w:val="0"/>
      <w:divBdr>
        <w:top w:val="none" w:sz="0" w:space="0" w:color="auto"/>
        <w:left w:val="none" w:sz="0" w:space="0" w:color="auto"/>
        <w:bottom w:val="none" w:sz="0" w:space="0" w:color="auto"/>
        <w:right w:val="none" w:sz="0" w:space="0" w:color="auto"/>
      </w:divBdr>
    </w:div>
    <w:div w:id="663749379">
      <w:bodyDiv w:val="1"/>
      <w:marLeft w:val="0"/>
      <w:marRight w:val="0"/>
      <w:marTop w:val="0"/>
      <w:marBottom w:val="0"/>
      <w:divBdr>
        <w:top w:val="none" w:sz="0" w:space="0" w:color="auto"/>
        <w:left w:val="none" w:sz="0" w:space="0" w:color="auto"/>
        <w:bottom w:val="none" w:sz="0" w:space="0" w:color="auto"/>
        <w:right w:val="none" w:sz="0" w:space="0" w:color="auto"/>
      </w:divBdr>
    </w:div>
    <w:div w:id="665939243">
      <w:bodyDiv w:val="1"/>
      <w:marLeft w:val="0"/>
      <w:marRight w:val="0"/>
      <w:marTop w:val="0"/>
      <w:marBottom w:val="0"/>
      <w:divBdr>
        <w:top w:val="none" w:sz="0" w:space="0" w:color="auto"/>
        <w:left w:val="none" w:sz="0" w:space="0" w:color="auto"/>
        <w:bottom w:val="none" w:sz="0" w:space="0" w:color="auto"/>
        <w:right w:val="none" w:sz="0" w:space="0" w:color="auto"/>
      </w:divBdr>
    </w:div>
    <w:div w:id="669723754">
      <w:bodyDiv w:val="1"/>
      <w:marLeft w:val="0"/>
      <w:marRight w:val="0"/>
      <w:marTop w:val="0"/>
      <w:marBottom w:val="0"/>
      <w:divBdr>
        <w:top w:val="none" w:sz="0" w:space="0" w:color="auto"/>
        <w:left w:val="none" w:sz="0" w:space="0" w:color="auto"/>
        <w:bottom w:val="none" w:sz="0" w:space="0" w:color="auto"/>
        <w:right w:val="none" w:sz="0" w:space="0" w:color="auto"/>
      </w:divBdr>
    </w:div>
    <w:div w:id="684089177">
      <w:bodyDiv w:val="1"/>
      <w:marLeft w:val="0"/>
      <w:marRight w:val="0"/>
      <w:marTop w:val="0"/>
      <w:marBottom w:val="0"/>
      <w:divBdr>
        <w:top w:val="none" w:sz="0" w:space="0" w:color="auto"/>
        <w:left w:val="none" w:sz="0" w:space="0" w:color="auto"/>
        <w:bottom w:val="none" w:sz="0" w:space="0" w:color="auto"/>
        <w:right w:val="none" w:sz="0" w:space="0" w:color="auto"/>
      </w:divBdr>
    </w:div>
    <w:div w:id="690834845">
      <w:bodyDiv w:val="1"/>
      <w:marLeft w:val="0"/>
      <w:marRight w:val="0"/>
      <w:marTop w:val="0"/>
      <w:marBottom w:val="0"/>
      <w:divBdr>
        <w:top w:val="none" w:sz="0" w:space="0" w:color="auto"/>
        <w:left w:val="none" w:sz="0" w:space="0" w:color="auto"/>
        <w:bottom w:val="none" w:sz="0" w:space="0" w:color="auto"/>
        <w:right w:val="none" w:sz="0" w:space="0" w:color="auto"/>
      </w:divBdr>
    </w:div>
    <w:div w:id="708991107">
      <w:bodyDiv w:val="1"/>
      <w:marLeft w:val="0"/>
      <w:marRight w:val="0"/>
      <w:marTop w:val="0"/>
      <w:marBottom w:val="0"/>
      <w:divBdr>
        <w:top w:val="none" w:sz="0" w:space="0" w:color="auto"/>
        <w:left w:val="none" w:sz="0" w:space="0" w:color="auto"/>
        <w:bottom w:val="none" w:sz="0" w:space="0" w:color="auto"/>
        <w:right w:val="none" w:sz="0" w:space="0" w:color="auto"/>
      </w:divBdr>
    </w:div>
    <w:div w:id="713583416">
      <w:bodyDiv w:val="1"/>
      <w:marLeft w:val="0"/>
      <w:marRight w:val="0"/>
      <w:marTop w:val="0"/>
      <w:marBottom w:val="0"/>
      <w:divBdr>
        <w:top w:val="none" w:sz="0" w:space="0" w:color="auto"/>
        <w:left w:val="none" w:sz="0" w:space="0" w:color="auto"/>
        <w:bottom w:val="none" w:sz="0" w:space="0" w:color="auto"/>
        <w:right w:val="none" w:sz="0" w:space="0" w:color="auto"/>
      </w:divBdr>
    </w:div>
    <w:div w:id="721438586">
      <w:bodyDiv w:val="1"/>
      <w:marLeft w:val="0"/>
      <w:marRight w:val="0"/>
      <w:marTop w:val="0"/>
      <w:marBottom w:val="0"/>
      <w:divBdr>
        <w:top w:val="none" w:sz="0" w:space="0" w:color="auto"/>
        <w:left w:val="none" w:sz="0" w:space="0" w:color="auto"/>
        <w:bottom w:val="none" w:sz="0" w:space="0" w:color="auto"/>
        <w:right w:val="none" w:sz="0" w:space="0" w:color="auto"/>
      </w:divBdr>
    </w:div>
    <w:div w:id="730421280">
      <w:bodyDiv w:val="1"/>
      <w:marLeft w:val="0"/>
      <w:marRight w:val="0"/>
      <w:marTop w:val="0"/>
      <w:marBottom w:val="0"/>
      <w:divBdr>
        <w:top w:val="none" w:sz="0" w:space="0" w:color="auto"/>
        <w:left w:val="none" w:sz="0" w:space="0" w:color="auto"/>
        <w:bottom w:val="none" w:sz="0" w:space="0" w:color="auto"/>
        <w:right w:val="none" w:sz="0" w:space="0" w:color="auto"/>
      </w:divBdr>
    </w:div>
    <w:div w:id="737241120">
      <w:bodyDiv w:val="1"/>
      <w:marLeft w:val="0"/>
      <w:marRight w:val="0"/>
      <w:marTop w:val="0"/>
      <w:marBottom w:val="0"/>
      <w:divBdr>
        <w:top w:val="none" w:sz="0" w:space="0" w:color="auto"/>
        <w:left w:val="none" w:sz="0" w:space="0" w:color="auto"/>
        <w:bottom w:val="none" w:sz="0" w:space="0" w:color="auto"/>
        <w:right w:val="none" w:sz="0" w:space="0" w:color="auto"/>
      </w:divBdr>
    </w:div>
    <w:div w:id="743376820">
      <w:bodyDiv w:val="1"/>
      <w:marLeft w:val="0"/>
      <w:marRight w:val="0"/>
      <w:marTop w:val="0"/>
      <w:marBottom w:val="0"/>
      <w:divBdr>
        <w:top w:val="none" w:sz="0" w:space="0" w:color="auto"/>
        <w:left w:val="none" w:sz="0" w:space="0" w:color="auto"/>
        <w:bottom w:val="none" w:sz="0" w:space="0" w:color="auto"/>
        <w:right w:val="none" w:sz="0" w:space="0" w:color="auto"/>
      </w:divBdr>
    </w:div>
    <w:div w:id="748425379">
      <w:bodyDiv w:val="1"/>
      <w:marLeft w:val="0"/>
      <w:marRight w:val="0"/>
      <w:marTop w:val="0"/>
      <w:marBottom w:val="0"/>
      <w:divBdr>
        <w:top w:val="none" w:sz="0" w:space="0" w:color="auto"/>
        <w:left w:val="none" w:sz="0" w:space="0" w:color="auto"/>
        <w:bottom w:val="none" w:sz="0" w:space="0" w:color="auto"/>
        <w:right w:val="none" w:sz="0" w:space="0" w:color="auto"/>
      </w:divBdr>
    </w:div>
    <w:div w:id="764692300">
      <w:bodyDiv w:val="1"/>
      <w:marLeft w:val="0"/>
      <w:marRight w:val="0"/>
      <w:marTop w:val="0"/>
      <w:marBottom w:val="0"/>
      <w:divBdr>
        <w:top w:val="none" w:sz="0" w:space="0" w:color="auto"/>
        <w:left w:val="none" w:sz="0" w:space="0" w:color="auto"/>
        <w:bottom w:val="none" w:sz="0" w:space="0" w:color="auto"/>
        <w:right w:val="none" w:sz="0" w:space="0" w:color="auto"/>
      </w:divBdr>
    </w:div>
    <w:div w:id="765266538">
      <w:bodyDiv w:val="1"/>
      <w:marLeft w:val="0"/>
      <w:marRight w:val="0"/>
      <w:marTop w:val="0"/>
      <w:marBottom w:val="0"/>
      <w:divBdr>
        <w:top w:val="none" w:sz="0" w:space="0" w:color="auto"/>
        <w:left w:val="none" w:sz="0" w:space="0" w:color="auto"/>
        <w:bottom w:val="none" w:sz="0" w:space="0" w:color="auto"/>
        <w:right w:val="none" w:sz="0" w:space="0" w:color="auto"/>
      </w:divBdr>
    </w:div>
    <w:div w:id="766268202">
      <w:bodyDiv w:val="1"/>
      <w:marLeft w:val="0"/>
      <w:marRight w:val="0"/>
      <w:marTop w:val="0"/>
      <w:marBottom w:val="0"/>
      <w:divBdr>
        <w:top w:val="none" w:sz="0" w:space="0" w:color="auto"/>
        <w:left w:val="none" w:sz="0" w:space="0" w:color="auto"/>
        <w:bottom w:val="none" w:sz="0" w:space="0" w:color="auto"/>
        <w:right w:val="none" w:sz="0" w:space="0" w:color="auto"/>
      </w:divBdr>
    </w:div>
    <w:div w:id="768236481">
      <w:bodyDiv w:val="1"/>
      <w:marLeft w:val="0"/>
      <w:marRight w:val="0"/>
      <w:marTop w:val="0"/>
      <w:marBottom w:val="0"/>
      <w:divBdr>
        <w:top w:val="none" w:sz="0" w:space="0" w:color="auto"/>
        <w:left w:val="none" w:sz="0" w:space="0" w:color="auto"/>
        <w:bottom w:val="none" w:sz="0" w:space="0" w:color="auto"/>
        <w:right w:val="none" w:sz="0" w:space="0" w:color="auto"/>
      </w:divBdr>
    </w:div>
    <w:div w:id="769087394">
      <w:bodyDiv w:val="1"/>
      <w:marLeft w:val="0"/>
      <w:marRight w:val="0"/>
      <w:marTop w:val="0"/>
      <w:marBottom w:val="0"/>
      <w:divBdr>
        <w:top w:val="none" w:sz="0" w:space="0" w:color="auto"/>
        <w:left w:val="none" w:sz="0" w:space="0" w:color="auto"/>
        <w:bottom w:val="none" w:sz="0" w:space="0" w:color="auto"/>
        <w:right w:val="none" w:sz="0" w:space="0" w:color="auto"/>
      </w:divBdr>
    </w:div>
    <w:div w:id="771242873">
      <w:bodyDiv w:val="1"/>
      <w:marLeft w:val="0"/>
      <w:marRight w:val="0"/>
      <w:marTop w:val="0"/>
      <w:marBottom w:val="0"/>
      <w:divBdr>
        <w:top w:val="none" w:sz="0" w:space="0" w:color="auto"/>
        <w:left w:val="none" w:sz="0" w:space="0" w:color="auto"/>
        <w:bottom w:val="none" w:sz="0" w:space="0" w:color="auto"/>
        <w:right w:val="none" w:sz="0" w:space="0" w:color="auto"/>
      </w:divBdr>
    </w:div>
    <w:div w:id="771246793">
      <w:bodyDiv w:val="1"/>
      <w:marLeft w:val="0"/>
      <w:marRight w:val="0"/>
      <w:marTop w:val="0"/>
      <w:marBottom w:val="0"/>
      <w:divBdr>
        <w:top w:val="none" w:sz="0" w:space="0" w:color="auto"/>
        <w:left w:val="none" w:sz="0" w:space="0" w:color="auto"/>
        <w:bottom w:val="none" w:sz="0" w:space="0" w:color="auto"/>
        <w:right w:val="none" w:sz="0" w:space="0" w:color="auto"/>
      </w:divBdr>
    </w:div>
    <w:div w:id="779036193">
      <w:bodyDiv w:val="1"/>
      <w:marLeft w:val="0"/>
      <w:marRight w:val="0"/>
      <w:marTop w:val="0"/>
      <w:marBottom w:val="0"/>
      <w:divBdr>
        <w:top w:val="none" w:sz="0" w:space="0" w:color="auto"/>
        <w:left w:val="none" w:sz="0" w:space="0" w:color="auto"/>
        <w:bottom w:val="none" w:sz="0" w:space="0" w:color="auto"/>
        <w:right w:val="none" w:sz="0" w:space="0" w:color="auto"/>
      </w:divBdr>
    </w:div>
    <w:div w:id="779760244">
      <w:bodyDiv w:val="1"/>
      <w:marLeft w:val="0"/>
      <w:marRight w:val="0"/>
      <w:marTop w:val="0"/>
      <w:marBottom w:val="0"/>
      <w:divBdr>
        <w:top w:val="none" w:sz="0" w:space="0" w:color="auto"/>
        <w:left w:val="none" w:sz="0" w:space="0" w:color="auto"/>
        <w:bottom w:val="none" w:sz="0" w:space="0" w:color="auto"/>
        <w:right w:val="none" w:sz="0" w:space="0" w:color="auto"/>
      </w:divBdr>
    </w:div>
    <w:div w:id="781413709">
      <w:bodyDiv w:val="1"/>
      <w:marLeft w:val="0"/>
      <w:marRight w:val="0"/>
      <w:marTop w:val="0"/>
      <w:marBottom w:val="0"/>
      <w:divBdr>
        <w:top w:val="none" w:sz="0" w:space="0" w:color="auto"/>
        <w:left w:val="none" w:sz="0" w:space="0" w:color="auto"/>
        <w:bottom w:val="none" w:sz="0" w:space="0" w:color="auto"/>
        <w:right w:val="none" w:sz="0" w:space="0" w:color="auto"/>
      </w:divBdr>
    </w:div>
    <w:div w:id="785152867">
      <w:bodyDiv w:val="1"/>
      <w:marLeft w:val="0"/>
      <w:marRight w:val="0"/>
      <w:marTop w:val="0"/>
      <w:marBottom w:val="0"/>
      <w:divBdr>
        <w:top w:val="none" w:sz="0" w:space="0" w:color="auto"/>
        <w:left w:val="none" w:sz="0" w:space="0" w:color="auto"/>
        <w:bottom w:val="none" w:sz="0" w:space="0" w:color="auto"/>
        <w:right w:val="none" w:sz="0" w:space="0" w:color="auto"/>
      </w:divBdr>
    </w:div>
    <w:div w:id="786002442">
      <w:bodyDiv w:val="1"/>
      <w:marLeft w:val="0"/>
      <w:marRight w:val="0"/>
      <w:marTop w:val="0"/>
      <w:marBottom w:val="0"/>
      <w:divBdr>
        <w:top w:val="none" w:sz="0" w:space="0" w:color="auto"/>
        <w:left w:val="none" w:sz="0" w:space="0" w:color="auto"/>
        <w:bottom w:val="none" w:sz="0" w:space="0" w:color="auto"/>
        <w:right w:val="none" w:sz="0" w:space="0" w:color="auto"/>
      </w:divBdr>
    </w:div>
    <w:div w:id="786240102">
      <w:bodyDiv w:val="1"/>
      <w:marLeft w:val="0"/>
      <w:marRight w:val="0"/>
      <w:marTop w:val="0"/>
      <w:marBottom w:val="0"/>
      <w:divBdr>
        <w:top w:val="none" w:sz="0" w:space="0" w:color="auto"/>
        <w:left w:val="none" w:sz="0" w:space="0" w:color="auto"/>
        <w:bottom w:val="none" w:sz="0" w:space="0" w:color="auto"/>
        <w:right w:val="none" w:sz="0" w:space="0" w:color="auto"/>
      </w:divBdr>
    </w:div>
    <w:div w:id="792750036">
      <w:bodyDiv w:val="1"/>
      <w:marLeft w:val="0"/>
      <w:marRight w:val="0"/>
      <w:marTop w:val="0"/>
      <w:marBottom w:val="0"/>
      <w:divBdr>
        <w:top w:val="none" w:sz="0" w:space="0" w:color="auto"/>
        <w:left w:val="none" w:sz="0" w:space="0" w:color="auto"/>
        <w:bottom w:val="none" w:sz="0" w:space="0" w:color="auto"/>
        <w:right w:val="none" w:sz="0" w:space="0" w:color="auto"/>
      </w:divBdr>
    </w:div>
    <w:div w:id="802818431">
      <w:bodyDiv w:val="1"/>
      <w:marLeft w:val="0"/>
      <w:marRight w:val="0"/>
      <w:marTop w:val="0"/>
      <w:marBottom w:val="0"/>
      <w:divBdr>
        <w:top w:val="none" w:sz="0" w:space="0" w:color="auto"/>
        <w:left w:val="none" w:sz="0" w:space="0" w:color="auto"/>
        <w:bottom w:val="none" w:sz="0" w:space="0" w:color="auto"/>
        <w:right w:val="none" w:sz="0" w:space="0" w:color="auto"/>
      </w:divBdr>
    </w:div>
    <w:div w:id="809789512">
      <w:bodyDiv w:val="1"/>
      <w:marLeft w:val="0"/>
      <w:marRight w:val="0"/>
      <w:marTop w:val="0"/>
      <w:marBottom w:val="0"/>
      <w:divBdr>
        <w:top w:val="none" w:sz="0" w:space="0" w:color="auto"/>
        <w:left w:val="none" w:sz="0" w:space="0" w:color="auto"/>
        <w:bottom w:val="none" w:sz="0" w:space="0" w:color="auto"/>
        <w:right w:val="none" w:sz="0" w:space="0" w:color="auto"/>
      </w:divBdr>
    </w:div>
    <w:div w:id="810755066">
      <w:bodyDiv w:val="1"/>
      <w:marLeft w:val="0"/>
      <w:marRight w:val="0"/>
      <w:marTop w:val="0"/>
      <w:marBottom w:val="0"/>
      <w:divBdr>
        <w:top w:val="none" w:sz="0" w:space="0" w:color="auto"/>
        <w:left w:val="none" w:sz="0" w:space="0" w:color="auto"/>
        <w:bottom w:val="none" w:sz="0" w:space="0" w:color="auto"/>
        <w:right w:val="none" w:sz="0" w:space="0" w:color="auto"/>
      </w:divBdr>
    </w:div>
    <w:div w:id="811289342">
      <w:bodyDiv w:val="1"/>
      <w:marLeft w:val="0"/>
      <w:marRight w:val="0"/>
      <w:marTop w:val="0"/>
      <w:marBottom w:val="0"/>
      <w:divBdr>
        <w:top w:val="none" w:sz="0" w:space="0" w:color="auto"/>
        <w:left w:val="none" w:sz="0" w:space="0" w:color="auto"/>
        <w:bottom w:val="none" w:sz="0" w:space="0" w:color="auto"/>
        <w:right w:val="none" w:sz="0" w:space="0" w:color="auto"/>
      </w:divBdr>
    </w:div>
    <w:div w:id="812529671">
      <w:bodyDiv w:val="1"/>
      <w:marLeft w:val="0"/>
      <w:marRight w:val="0"/>
      <w:marTop w:val="0"/>
      <w:marBottom w:val="0"/>
      <w:divBdr>
        <w:top w:val="none" w:sz="0" w:space="0" w:color="auto"/>
        <w:left w:val="none" w:sz="0" w:space="0" w:color="auto"/>
        <w:bottom w:val="none" w:sz="0" w:space="0" w:color="auto"/>
        <w:right w:val="none" w:sz="0" w:space="0" w:color="auto"/>
      </w:divBdr>
    </w:div>
    <w:div w:id="814954402">
      <w:bodyDiv w:val="1"/>
      <w:marLeft w:val="0"/>
      <w:marRight w:val="0"/>
      <w:marTop w:val="0"/>
      <w:marBottom w:val="0"/>
      <w:divBdr>
        <w:top w:val="none" w:sz="0" w:space="0" w:color="auto"/>
        <w:left w:val="none" w:sz="0" w:space="0" w:color="auto"/>
        <w:bottom w:val="none" w:sz="0" w:space="0" w:color="auto"/>
        <w:right w:val="none" w:sz="0" w:space="0" w:color="auto"/>
      </w:divBdr>
    </w:div>
    <w:div w:id="831025656">
      <w:bodyDiv w:val="1"/>
      <w:marLeft w:val="0"/>
      <w:marRight w:val="0"/>
      <w:marTop w:val="0"/>
      <w:marBottom w:val="0"/>
      <w:divBdr>
        <w:top w:val="none" w:sz="0" w:space="0" w:color="auto"/>
        <w:left w:val="none" w:sz="0" w:space="0" w:color="auto"/>
        <w:bottom w:val="none" w:sz="0" w:space="0" w:color="auto"/>
        <w:right w:val="none" w:sz="0" w:space="0" w:color="auto"/>
      </w:divBdr>
    </w:div>
    <w:div w:id="833423022">
      <w:bodyDiv w:val="1"/>
      <w:marLeft w:val="0"/>
      <w:marRight w:val="0"/>
      <w:marTop w:val="0"/>
      <w:marBottom w:val="0"/>
      <w:divBdr>
        <w:top w:val="none" w:sz="0" w:space="0" w:color="auto"/>
        <w:left w:val="none" w:sz="0" w:space="0" w:color="auto"/>
        <w:bottom w:val="none" w:sz="0" w:space="0" w:color="auto"/>
        <w:right w:val="none" w:sz="0" w:space="0" w:color="auto"/>
      </w:divBdr>
    </w:div>
    <w:div w:id="835458665">
      <w:bodyDiv w:val="1"/>
      <w:marLeft w:val="0"/>
      <w:marRight w:val="0"/>
      <w:marTop w:val="0"/>
      <w:marBottom w:val="0"/>
      <w:divBdr>
        <w:top w:val="none" w:sz="0" w:space="0" w:color="auto"/>
        <w:left w:val="none" w:sz="0" w:space="0" w:color="auto"/>
        <w:bottom w:val="none" w:sz="0" w:space="0" w:color="auto"/>
        <w:right w:val="none" w:sz="0" w:space="0" w:color="auto"/>
      </w:divBdr>
    </w:div>
    <w:div w:id="837499426">
      <w:bodyDiv w:val="1"/>
      <w:marLeft w:val="0"/>
      <w:marRight w:val="0"/>
      <w:marTop w:val="0"/>
      <w:marBottom w:val="0"/>
      <w:divBdr>
        <w:top w:val="none" w:sz="0" w:space="0" w:color="auto"/>
        <w:left w:val="none" w:sz="0" w:space="0" w:color="auto"/>
        <w:bottom w:val="none" w:sz="0" w:space="0" w:color="auto"/>
        <w:right w:val="none" w:sz="0" w:space="0" w:color="auto"/>
      </w:divBdr>
    </w:div>
    <w:div w:id="845942856">
      <w:bodyDiv w:val="1"/>
      <w:marLeft w:val="0"/>
      <w:marRight w:val="0"/>
      <w:marTop w:val="0"/>
      <w:marBottom w:val="0"/>
      <w:divBdr>
        <w:top w:val="none" w:sz="0" w:space="0" w:color="auto"/>
        <w:left w:val="none" w:sz="0" w:space="0" w:color="auto"/>
        <w:bottom w:val="none" w:sz="0" w:space="0" w:color="auto"/>
        <w:right w:val="none" w:sz="0" w:space="0" w:color="auto"/>
      </w:divBdr>
    </w:div>
    <w:div w:id="848909727">
      <w:bodyDiv w:val="1"/>
      <w:marLeft w:val="0"/>
      <w:marRight w:val="0"/>
      <w:marTop w:val="0"/>
      <w:marBottom w:val="0"/>
      <w:divBdr>
        <w:top w:val="none" w:sz="0" w:space="0" w:color="auto"/>
        <w:left w:val="none" w:sz="0" w:space="0" w:color="auto"/>
        <w:bottom w:val="none" w:sz="0" w:space="0" w:color="auto"/>
        <w:right w:val="none" w:sz="0" w:space="0" w:color="auto"/>
      </w:divBdr>
    </w:div>
    <w:div w:id="850992710">
      <w:bodyDiv w:val="1"/>
      <w:marLeft w:val="0"/>
      <w:marRight w:val="0"/>
      <w:marTop w:val="0"/>
      <w:marBottom w:val="0"/>
      <w:divBdr>
        <w:top w:val="none" w:sz="0" w:space="0" w:color="auto"/>
        <w:left w:val="none" w:sz="0" w:space="0" w:color="auto"/>
        <w:bottom w:val="none" w:sz="0" w:space="0" w:color="auto"/>
        <w:right w:val="none" w:sz="0" w:space="0" w:color="auto"/>
      </w:divBdr>
    </w:div>
    <w:div w:id="852299135">
      <w:bodyDiv w:val="1"/>
      <w:marLeft w:val="0"/>
      <w:marRight w:val="0"/>
      <w:marTop w:val="0"/>
      <w:marBottom w:val="0"/>
      <w:divBdr>
        <w:top w:val="none" w:sz="0" w:space="0" w:color="auto"/>
        <w:left w:val="none" w:sz="0" w:space="0" w:color="auto"/>
        <w:bottom w:val="none" w:sz="0" w:space="0" w:color="auto"/>
        <w:right w:val="none" w:sz="0" w:space="0" w:color="auto"/>
      </w:divBdr>
    </w:div>
    <w:div w:id="855000776">
      <w:bodyDiv w:val="1"/>
      <w:marLeft w:val="0"/>
      <w:marRight w:val="0"/>
      <w:marTop w:val="0"/>
      <w:marBottom w:val="0"/>
      <w:divBdr>
        <w:top w:val="none" w:sz="0" w:space="0" w:color="auto"/>
        <w:left w:val="none" w:sz="0" w:space="0" w:color="auto"/>
        <w:bottom w:val="none" w:sz="0" w:space="0" w:color="auto"/>
        <w:right w:val="none" w:sz="0" w:space="0" w:color="auto"/>
      </w:divBdr>
    </w:div>
    <w:div w:id="855314685">
      <w:bodyDiv w:val="1"/>
      <w:marLeft w:val="0"/>
      <w:marRight w:val="0"/>
      <w:marTop w:val="0"/>
      <w:marBottom w:val="0"/>
      <w:divBdr>
        <w:top w:val="none" w:sz="0" w:space="0" w:color="auto"/>
        <w:left w:val="none" w:sz="0" w:space="0" w:color="auto"/>
        <w:bottom w:val="none" w:sz="0" w:space="0" w:color="auto"/>
        <w:right w:val="none" w:sz="0" w:space="0" w:color="auto"/>
      </w:divBdr>
    </w:div>
    <w:div w:id="858783983">
      <w:bodyDiv w:val="1"/>
      <w:marLeft w:val="0"/>
      <w:marRight w:val="0"/>
      <w:marTop w:val="0"/>
      <w:marBottom w:val="0"/>
      <w:divBdr>
        <w:top w:val="none" w:sz="0" w:space="0" w:color="auto"/>
        <w:left w:val="none" w:sz="0" w:space="0" w:color="auto"/>
        <w:bottom w:val="none" w:sz="0" w:space="0" w:color="auto"/>
        <w:right w:val="none" w:sz="0" w:space="0" w:color="auto"/>
      </w:divBdr>
    </w:div>
    <w:div w:id="860126564">
      <w:bodyDiv w:val="1"/>
      <w:marLeft w:val="0"/>
      <w:marRight w:val="0"/>
      <w:marTop w:val="0"/>
      <w:marBottom w:val="0"/>
      <w:divBdr>
        <w:top w:val="none" w:sz="0" w:space="0" w:color="auto"/>
        <w:left w:val="none" w:sz="0" w:space="0" w:color="auto"/>
        <w:bottom w:val="none" w:sz="0" w:space="0" w:color="auto"/>
        <w:right w:val="none" w:sz="0" w:space="0" w:color="auto"/>
      </w:divBdr>
    </w:div>
    <w:div w:id="862206597">
      <w:bodyDiv w:val="1"/>
      <w:marLeft w:val="0"/>
      <w:marRight w:val="0"/>
      <w:marTop w:val="0"/>
      <w:marBottom w:val="0"/>
      <w:divBdr>
        <w:top w:val="none" w:sz="0" w:space="0" w:color="auto"/>
        <w:left w:val="none" w:sz="0" w:space="0" w:color="auto"/>
        <w:bottom w:val="none" w:sz="0" w:space="0" w:color="auto"/>
        <w:right w:val="none" w:sz="0" w:space="0" w:color="auto"/>
      </w:divBdr>
    </w:div>
    <w:div w:id="876819060">
      <w:bodyDiv w:val="1"/>
      <w:marLeft w:val="0"/>
      <w:marRight w:val="0"/>
      <w:marTop w:val="0"/>
      <w:marBottom w:val="0"/>
      <w:divBdr>
        <w:top w:val="none" w:sz="0" w:space="0" w:color="auto"/>
        <w:left w:val="none" w:sz="0" w:space="0" w:color="auto"/>
        <w:bottom w:val="none" w:sz="0" w:space="0" w:color="auto"/>
        <w:right w:val="none" w:sz="0" w:space="0" w:color="auto"/>
      </w:divBdr>
    </w:div>
    <w:div w:id="878325164">
      <w:bodyDiv w:val="1"/>
      <w:marLeft w:val="0"/>
      <w:marRight w:val="0"/>
      <w:marTop w:val="0"/>
      <w:marBottom w:val="0"/>
      <w:divBdr>
        <w:top w:val="none" w:sz="0" w:space="0" w:color="auto"/>
        <w:left w:val="none" w:sz="0" w:space="0" w:color="auto"/>
        <w:bottom w:val="none" w:sz="0" w:space="0" w:color="auto"/>
        <w:right w:val="none" w:sz="0" w:space="0" w:color="auto"/>
      </w:divBdr>
    </w:div>
    <w:div w:id="893782104">
      <w:bodyDiv w:val="1"/>
      <w:marLeft w:val="0"/>
      <w:marRight w:val="0"/>
      <w:marTop w:val="0"/>
      <w:marBottom w:val="0"/>
      <w:divBdr>
        <w:top w:val="none" w:sz="0" w:space="0" w:color="auto"/>
        <w:left w:val="none" w:sz="0" w:space="0" w:color="auto"/>
        <w:bottom w:val="none" w:sz="0" w:space="0" w:color="auto"/>
        <w:right w:val="none" w:sz="0" w:space="0" w:color="auto"/>
      </w:divBdr>
    </w:div>
    <w:div w:id="896281493">
      <w:bodyDiv w:val="1"/>
      <w:marLeft w:val="0"/>
      <w:marRight w:val="0"/>
      <w:marTop w:val="0"/>
      <w:marBottom w:val="0"/>
      <w:divBdr>
        <w:top w:val="none" w:sz="0" w:space="0" w:color="auto"/>
        <w:left w:val="none" w:sz="0" w:space="0" w:color="auto"/>
        <w:bottom w:val="none" w:sz="0" w:space="0" w:color="auto"/>
        <w:right w:val="none" w:sz="0" w:space="0" w:color="auto"/>
      </w:divBdr>
    </w:div>
    <w:div w:id="899630492">
      <w:bodyDiv w:val="1"/>
      <w:marLeft w:val="0"/>
      <w:marRight w:val="0"/>
      <w:marTop w:val="0"/>
      <w:marBottom w:val="0"/>
      <w:divBdr>
        <w:top w:val="none" w:sz="0" w:space="0" w:color="auto"/>
        <w:left w:val="none" w:sz="0" w:space="0" w:color="auto"/>
        <w:bottom w:val="none" w:sz="0" w:space="0" w:color="auto"/>
        <w:right w:val="none" w:sz="0" w:space="0" w:color="auto"/>
      </w:divBdr>
    </w:div>
    <w:div w:id="906497200">
      <w:bodyDiv w:val="1"/>
      <w:marLeft w:val="0"/>
      <w:marRight w:val="0"/>
      <w:marTop w:val="0"/>
      <w:marBottom w:val="0"/>
      <w:divBdr>
        <w:top w:val="none" w:sz="0" w:space="0" w:color="auto"/>
        <w:left w:val="none" w:sz="0" w:space="0" w:color="auto"/>
        <w:bottom w:val="none" w:sz="0" w:space="0" w:color="auto"/>
        <w:right w:val="none" w:sz="0" w:space="0" w:color="auto"/>
      </w:divBdr>
    </w:div>
    <w:div w:id="909802373">
      <w:bodyDiv w:val="1"/>
      <w:marLeft w:val="0"/>
      <w:marRight w:val="0"/>
      <w:marTop w:val="0"/>
      <w:marBottom w:val="0"/>
      <w:divBdr>
        <w:top w:val="none" w:sz="0" w:space="0" w:color="auto"/>
        <w:left w:val="none" w:sz="0" w:space="0" w:color="auto"/>
        <w:bottom w:val="none" w:sz="0" w:space="0" w:color="auto"/>
        <w:right w:val="none" w:sz="0" w:space="0" w:color="auto"/>
      </w:divBdr>
    </w:div>
    <w:div w:id="913710702">
      <w:bodyDiv w:val="1"/>
      <w:marLeft w:val="0"/>
      <w:marRight w:val="0"/>
      <w:marTop w:val="0"/>
      <w:marBottom w:val="0"/>
      <w:divBdr>
        <w:top w:val="none" w:sz="0" w:space="0" w:color="auto"/>
        <w:left w:val="none" w:sz="0" w:space="0" w:color="auto"/>
        <w:bottom w:val="none" w:sz="0" w:space="0" w:color="auto"/>
        <w:right w:val="none" w:sz="0" w:space="0" w:color="auto"/>
      </w:divBdr>
    </w:div>
    <w:div w:id="913861435">
      <w:bodyDiv w:val="1"/>
      <w:marLeft w:val="0"/>
      <w:marRight w:val="0"/>
      <w:marTop w:val="0"/>
      <w:marBottom w:val="0"/>
      <w:divBdr>
        <w:top w:val="none" w:sz="0" w:space="0" w:color="auto"/>
        <w:left w:val="none" w:sz="0" w:space="0" w:color="auto"/>
        <w:bottom w:val="none" w:sz="0" w:space="0" w:color="auto"/>
        <w:right w:val="none" w:sz="0" w:space="0" w:color="auto"/>
      </w:divBdr>
    </w:div>
    <w:div w:id="915939235">
      <w:bodyDiv w:val="1"/>
      <w:marLeft w:val="0"/>
      <w:marRight w:val="0"/>
      <w:marTop w:val="0"/>
      <w:marBottom w:val="0"/>
      <w:divBdr>
        <w:top w:val="none" w:sz="0" w:space="0" w:color="auto"/>
        <w:left w:val="none" w:sz="0" w:space="0" w:color="auto"/>
        <w:bottom w:val="none" w:sz="0" w:space="0" w:color="auto"/>
        <w:right w:val="none" w:sz="0" w:space="0" w:color="auto"/>
      </w:divBdr>
    </w:div>
    <w:div w:id="916281374">
      <w:bodyDiv w:val="1"/>
      <w:marLeft w:val="0"/>
      <w:marRight w:val="0"/>
      <w:marTop w:val="0"/>
      <w:marBottom w:val="0"/>
      <w:divBdr>
        <w:top w:val="none" w:sz="0" w:space="0" w:color="auto"/>
        <w:left w:val="none" w:sz="0" w:space="0" w:color="auto"/>
        <w:bottom w:val="none" w:sz="0" w:space="0" w:color="auto"/>
        <w:right w:val="none" w:sz="0" w:space="0" w:color="auto"/>
      </w:divBdr>
    </w:div>
    <w:div w:id="918371742">
      <w:bodyDiv w:val="1"/>
      <w:marLeft w:val="0"/>
      <w:marRight w:val="0"/>
      <w:marTop w:val="0"/>
      <w:marBottom w:val="0"/>
      <w:divBdr>
        <w:top w:val="none" w:sz="0" w:space="0" w:color="auto"/>
        <w:left w:val="none" w:sz="0" w:space="0" w:color="auto"/>
        <w:bottom w:val="none" w:sz="0" w:space="0" w:color="auto"/>
        <w:right w:val="none" w:sz="0" w:space="0" w:color="auto"/>
      </w:divBdr>
    </w:div>
    <w:div w:id="919564692">
      <w:bodyDiv w:val="1"/>
      <w:marLeft w:val="0"/>
      <w:marRight w:val="0"/>
      <w:marTop w:val="0"/>
      <w:marBottom w:val="0"/>
      <w:divBdr>
        <w:top w:val="none" w:sz="0" w:space="0" w:color="auto"/>
        <w:left w:val="none" w:sz="0" w:space="0" w:color="auto"/>
        <w:bottom w:val="none" w:sz="0" w:space="0" w:color="auto"/>
        <w:right w:val="none" w:sz="0" w:space="0" w:color="auto"/>
      </w:divBdr>
    </w:div>
    <w:div w:id="921913661">
      <w:bodyDiv w:val="1"/>
      <w:marLeft w:val="0"/>
      <w:marRight w:val="0"/>
      <w:marTop w:val="0"/>
      <w:marBottom w:val="0"/>
      <w:divBdr>
        <w:top w:val="none" w:sz="0" w:space="0" w:color="auto"/>
        <w:left w:val="none" w:sz="0" w:space="0" w:color="auto"/>
        <w:bottom w:val="none" w:sz="0" w:space="0" w:color="auto"/>
        <w:right w:val="none" w:sz="0" w:space="0" w:color="auto"/>
      </w:divBdr>
    </w:div>
    <w:div w:id="929311171">
      <w:bodyDiv w:val="1"/>
      <w:marLeft w:val="0"/>
      <w:marRight w:val="0"/>
      <w:marTop w:val="0"/>
      <w:marBottom w:val="0"/>
      <w:divBdr>
        <w:top w:val="none" w:sz="0" w:space="0" w:color="auto"/>
        <w:left w:val="none" w:sz="0" w:space="0" w:color="auto"/>
        <w:bottom w:val="none" w:sz="0" w:space="0" w:color="auto"/>
        <w:right w:val="none" w:sz="0" w:space="0" w:color="auto"/>
      </w:divBdr>
    </w:div>
    <w:div w:id="929386189">
      <w:bodyDiv w:val="1"/>
      <w:marLeft w:val="0"/>
      <w:marRight w:val="0"/>
      <w:marTop w:val="0"/>
      <w:marBottom w:val="0"/>
      <w:divBdr>
        <w:top w:val="none" w:sz="0" w:space="0" w:color="auto"/>
        <w:left w:val="none" w:sz="0" w:space="0" w:color="auto"/>
        <w:bottom w:val="none" w:sz="0" w:space="0" w:color="auto"/>
        <w:right w:val="none" w:sz="0" w:space="0" w:color="auto"/>
      </w:divBdr>
    </w:div>
    <w:div w:id="933782175">
      <w:bodyDiv w:val="1"/>
      <w:marLeft w:val="0"/>
      <w:marRight w:val="0"/>
      <w:marTop w:val="0"/>
      <w:marBottom w:val="0"/>
      <w:divBdr>
        <w:top w:val="none" w:sz="0" w:space="0" w:color="auto"/>
        <w:left w:val="none" w:sz="0" w:space="0" w:color="auto"/>
        <w:bottom w:val="none" w:sz="0" w:space="0" w:color="auto"/>
        <w:right w:val="none" w:sz="0" w:space="0" w:color="auto"/>
      </w:divBdr>
    </w:div>
    <w:div w:id="935285892">
      <w:bodyDiv w:val="1"/>
      <w:marLeft w:val="0"/>
      <w:marRight w:val="0"/>
      <w:marTop w:val="0"/>
      <w:marBottom w:val="0"/>
      <w:divBdr>
        <w:top w:val="none" w:sz="0" w:space="0" w:color="auto"/>
        <w:left w:val="none" w:sz="0" w:space="0" w:color="auto"/>
        <w:bottom w:val="none" w:sz="0" w:space="0" w:color="auto"/>
        <w:right w:val="none" w:sz="0" w:space="0" w:color="auto"/>
      </w:divBdr>
    </w:div>
    <w:div w:id="935863560">
      <w:bodyDiv w:val="1"/>
      <w:marLeft w:val="0"/>
      <w:marRight w:val="0"/>
      <w:marTop w:val="0"/>
      <w:marBottom w:val="0"/>
      <w:divBdr>
        <w:top w:val="none" w:sz="0" w:space="0" w:color="auto"/>
        <w:left w:val="none" w:sz="0" w:space="0" w:color="auto"/>
        <w:bottom w:val="none" w:sz="0" w:space="0" w:color="auto"/>
        <w:right w:val="none" w:sz="0" w:space="0" w:color="auto"/>
      </w:divBdr>
    </w:div>
    <w:div w:id="948119706">
      <w:bodyDiv w:val="1"/>
      <w:marLeft w:val="0"/>
      <w:marRight w:val="0"/>
      <w:marTop w:val="0"/>
      <w:marBottom w:val="0"/>
      <w:divBdr>
        <w:top w:val="none" w:sz="0" w:space="0" w:color="auto"/>
        <w:left w:val="none" w:sz="0" w:space="0" w:color="auto"/>
        <w:bottom w:val="none" w:sz="0" w:space="0" w:color="auto"/>
        <w:right w:val="none" w:sz="0" w:space="0" w:color="auto"/>
      </w:divBdr>
    </w:div>
    <w:div w:id="958144017">
      <w:bodyDiv w:val="1"/>
      <w:marLeft w:val="0"/>
      <w:marRight w:val="0"/>
      <w:marTop w:val="0"/>
      <w:marBottom w:val="0"/>
      <w:divBdr>
        <w:top w:val="none" w:sz="0" w:space="0" w:color="auto"/>
        <w:left w:val="none" w:sz="0" w:space="0" w:color="auto"/>
        <w:bottom w:val="none" w:sz="0" w:space="0" w:color="auto"/>
        <w:right w:val="none" w:sz="0" w:space="0" w:color="auto"/>
      </w:divBdr>
    </w:div>
    <w:div w:id="963727762">
      <w:bodyDiv w:val="1"/>
      <w:marLeft w:val="0"/>
      <w:marRight w:val="0"/>
      <w:marTop w:val="0"/>
      <w:marBottom w:val="0"/>
      <w:divBdr>
        <w:top w:val="none" w:sz="0" w:space="0" w:color="auto"/>
        <w:left w:val="none" w:sz="0" w:space="0" w:color="auto"/>
        <w:bottom w:val="none" w:sz="0" w:space="0" w:color="auto"/>
        <w:right w:val="none" w:sz="0" w:space="0" w:color="auto"/>
      </w:divBdr>
    </w:div>
    <w:div w:id="981349155">
      <w:bodyDiv w:val="1"/>
      <w:marLeft w:val="0"/>
      <w:marRight w:val="0"/>
      <w:marTop w:val="0"/>
      <w:marBottom w:val="0"/>
      <w:divBdr>
        <w:top w:val="none" w:sz="0" w:space="0" w:color="auto"/>
        <w:left w:val="none" w:sz="0" w:space="0" w:color="auto"/>
        <w:bottom w:val="none" w:sz="0" w:space="0" w:color="auto"/>
        <w:right w:val="none" w:sz="0" w:space="0" w:color="auto"/>
      </w:divBdr>
    </w:div>
    <w:div w:id="994064340">
      <w:bodyDiv w:val="1"/>
      <w:marLeft w:val="0"/>
      <w:marRight w:val="0"/>
      <w:marTop w:val="0"/>
      <w:marBottom w:val="0"/>
      <w:divBdr>
        <w:top w:val="none" w:sz="0" w:space="0" w:color="auto"/>
        <w:left w:val="none" w:sz="0" w:space="0" w:color="auto"/>
        <w:bottom w:val="none" w:sz="0" w:space="0" w:color="auto"/>
        <w:right w:val="none" w:sz="0" w:space="0" w:color="auto"/>
      </w:divBdr>
    </w:div>
    <w:div w:id="1009215641">
      <w:bodyDiv w:val="1"/>
      <w:marLeft w:val="0"/>
      <w:marRight w:val="0"/>
      <w:marTop w:val="0"/>
      <w:marBottom w:val="0"/>
      <w:divBdr>
        <w:top w:val="none" w:sz="0" w:space="0" w:color="auto"/>
        <w:left w:val="none" w:sz="0" w:space="0" w:color="auto"/>
        <w:bottom w:val="none" w:sz="0" w:space="0" w:color="auto"/>
        <w:right w:val="none" w:sz="0" w:space="0" w:color="auto"/>
      </w:divBdr>
    </w:div>
    <w:div w:id="1018430199">
      <w:bodyDiv w:val="1"/>
      <w:marLeft w:val="0"/>
      <w:marRight w:val="0"/>
      <w:marTop w:val="0"/>
      <w:marBottom w:val="0"/>
      <w:divBdr>
        <w:top w:val="none" w:sz="0" w:space="0" w:color="auto"/>
        <w:left w:val="none" w:sz="0" w:space="0" w:color="auto"/>
        <w:bottom w:val="none" w:sz="0" w:space="0" w:color="auto"/>
        <w:right w:val="none" w:sz="0" w:space="0" w:color="auto"/>
      </w:divBdr>
    </w:div>
    <w:div w:id="1028138735">
      <w:bodyDiv w:val="1"/>
      <w:marLeft w:val="0"/>
      <w:marRight w:val="0"/>
      <w:marTop w:val="0"/>
      <w:marBottom w:val="0"/>
      <w:divBdr>
        <w:top w:val="none" w:sz="0" w:space="0" w:color="auto"/>
        <w:left w:val="none" w:sz="0" w:space="0" w:color="auto"/>
        <w:bottom w:val="none" w:sz="0" w:space="0" w:color="auto"/>
        <w:right w:val="none" w:sz="0" w:space="0" w:color="auto"/>
      </w:divBdr>
    </w:div>
    <w:div w:id="1033119577">
      <w:bodyDiv w:val="1"/>
      <w:marLeft w:val="0"/>
      <w:marRight w:val="0"/>
      <w:marTop w:val="0"/>
      <w:marBottom w:val="0"/>
      <w:divBdr>
        <w:top w:val="none" w:sz="0" w:space="0" w:color="auto"/>
        <w:left w:val="none" w:sz="0" w:space="0" w:color="auto"/>
        <w:bottom w:val="none" w:sz="0" w:space="0" w:color="auto"/>
        <w:right w:val="none" w:sz="0" w:space="0" w:color="auto"/>
      </w:divBdr>
    </w:div>
    <w:div w:id="1040672334">
      <w:bodyDiv w:val="1"/>
      <w:marLeft w:val="0"/>
      <w:marRight w:val="0"/>
      <w:marTop w:val="0"/>
      <w:marBottom w:val="0"/>
      <w:divBdr>
        <w:top w:val="none" w:sz="0" w:space="0" w:color="auto"/>
        <w:left w:val="none" w:sz="0" w:space="0" w:color="auto"/>
        <w:bottom w:val="none" w:sz="0" w:space="0" w:color="auto"/>
        <w:right w:val="none" w:sz="0" w:space="0" w:color="auto"/>
      </w:divBdr>
    </w:div>
    <w:div w:id="1043674296">
      <w:bodyDiv w:val="1"/>
      <w:marLeft w:val="0"/>
      <w:marRight w:val="0"/>
      <w:marTop w:val="0"/>
      <w:marBottom w:val="0"/>
      <w:divBdr>
        <w:top w:val="none" w:sz="0" w:space="0" w:color="auto"/>
        <w:left w:val="none" w:sz="0" w:space="0" w:color="auto"/>
        <w:bottom w:val="none" w:sz="0" w:space="0" w:color="auto"/>
        <w:right w:val="none" w:sz="0" w:space="0" w:color="auto"/>
      </w:divBdr>
    </w:div>
    <w:div w:id="1047097783">
      <w:bodyDiv w:val="1"/>
      <w:marLeft w:val="0"/>
      <w:marRight w:val="0"/>
      <w:marTop w:val="0"/>
      <w:marBottom w:val="0"/>
      <w:divBdr>
        <w:top w:val="none" w:sz="0" w:space="0" w:color="auto"/>
        <w:left w:val="none" w:sz="0" w:space="0" w:color="auto"/>
        <w:bottom w:val="none" w:sz="0" w:space="0" w:color="auto"/>
        <w:right w:val="none" w:sz="0" w:space="0" w:color="auto"/>
      </w:divBdr>
    </w:div>
    <w:div w:id="1061951629">
      <w:bodyDiv w:val="1"/>
      <w:marLeft w:val="0"/>
      <w:marRight w:val="0"/>
      <w:marTop w:val="0"/>
      <w:marBottom w:val="0"/>
      <w:divBdr>
        <w:top w:val="none" w:sz="0" w:space="0" w:color="auto"/>
        <w:left w:val="none" w:sz="0" w:space="0" w:color="auto"/>
        <w:bottom w:val="none" w:sz="0" w:space="0" w:color="auto"/>
        <w:right w:val="none" w:sz="0" w:space="0" w:color="auto"/>
      </w:divBdr>
    </w:div>
    <w:div w:id="1068191351">
      <w:bodyDiv w:val="1"/>
      <w:marLeft w:val="0"/>
      <w:marRight w:val="0"/>
      <w:marTop w:val="0"/>
      <w:marBottom w:val="0"/>
      <w:divBdr>
        <w:top w:val="none" w:sz="0" w:space="0" w:color="auto"/>
        <w:left w:val="none" w:sz="0" w:space="0" w:color="auto"/>
        <w:bottom w:val="none" w:sz="0" w:space="0" w:color="auto"/>
        <w:right w:val="none" w:sz="0" w:space="0" w:color="auto"/>
      </w:divBdr>
    </w:div>
    <w:div w:id="1079400218">
      <w:bodyDiv w:val="1"/>
      <w:marLeft w:val="0"/>
      <w:marRight w:val="0"/>
      <w:marTop w:val="0"/>
      <w:marBottom w:val="0"/>
      <w:divBdr>
        <w:top w:val="none" w:sz="0" w:space="0" w:color="auto"/>
        <w:left w:val="none" w:sz="0" w:space="0" w:color="auto"/>
        <w:bottom w:val="none" w:sz="0" w:space="0" w:color="auto"/>
        <w:right w:val="none" w:sz="0" w:space="0" w:color="auto"/>
      </w:divBdr>
    </w:div>
    <w:div w:id="1089543710">
      <w:bodyDiv w:val="1"/>
      <w:marLeft w:val="0"/>
      <w:marRight w:val="0"/>
      <w:marTop w:val="0"/>
      <w:marBottom w:val="0"/>
      <w:divBdr>
        <w:top w:val="none" w:sz="0" w:space="0" w:color="auto"/>
        <w:left w:val="none" w:sz="0" w:space="0" w:color="auto"/>
        <w:bottom w:val="none" w:sz="0" w:space="0" w:color="auto"/>
        <w:right w:val="none" w:sz="0" w:space="0" w:color="auto"/>
      </w:divBdr>
    </w:div>
    <w:div w:id="1091851778">
      <w:bodyDiv w:val="1"/>
      <w:marLeft w:val="0"/>
      <w:marRight w:val="0"/>
      <w:marTop w:val="0"/>
      <w:marBottom w:val="0"/>
      <w:divBdr>
        <w:top w:val="none" w:sz="0" w:space="0" w:color="auto"/>
        <w:left w:val="none" w:sz="0" w:space="0" w:color="auto"/>
        <w:bottom w:val="none" w:sz="0" w:space="0" w:color="auto"/>
        <w:right w:val="none" w:sz="0" w:space="0" w:color="auto"/>
      </w:divBdr>
    </w:div>
    <w:div w:id="1094857335">
      <w:bodyDiv w:val="1"/>
      <w:marLeft w:val="0"/>
      <w:marRight w:val="0"/>
      <w:marTop w:val="0"/>
      <w:marBottom w:val="0"/>
      <w:divBdr>
        <w:top w:val="none" w:sz="0" w:space="0" w:color="auto"/>
        <w:left w:val="none" w:sz="0" w:space="0" w:color="auto"/>
        <w:bottom w:val="none" w:sz="0" w:space="0" w:color="auto"/>
        <w:right w:val="none" w:sz="0" w:space="0" w:color="auto"/>
      </w:divBdr>
    </w:div>
    <w:div w:id="1106271021">
      <w:bodyDiv w:val="1"/>
      <w:marLeft w:val="0"/>
      <w:marRight w:val="0"/>
      <w:marTop w:val="0"/>
      <w:marBottom w:val="0"/>
      <w:divBdr>
        <w:top w:val="none" w:sz="0" w:space="0" w:color="auto"/>
        <w:left w:val="none" w:sz="0" w:space="0" w:color="auto"/>
        <w:bottom w:val="none" w:sz="0" w:space="0" w:color="auto"/>
        <w:right w:val="none" w:sz="0" w:space="0" w:color="auto"/>
      </w:divBdr>
    </w:div>
    <w:div w:id="1107236932">
      <w:bodyDiv w:val="1"/>
      <w:marLeft w:val="0"/>
      <w:marRight w:val="0"/>
      <w:marTop w:val="0"/>
      <w:marBottom w:val="0"/>
      <w:divBdr>
        <w:top w:val="none" w:sz="0" w:space="0" w:color="auto"/>
        <w:left w:val="none" w:sz="0" w:space="0" w:color="auto"/>
        <w:bottom w:val="none" w:sz="0" w:space="0" w:color="auto"/>
        <w:right w:val="none" w:sz="0" w:space="0" w:color="auto"/>
      </w:divBdr>
    </w:div>
    <w:div w:id="1107430778">
      <w:bodyDiv w:val="1"/>
      <w:marLeft w:val="0"/>
      <w:marRight w:val="0"/>
      <w:marTop w:val="0"/>
      <w:marBottom w:val="0"/>
      <w:divBdr>
        <w:top w:val="none" w:sz="0" w:space="0" w:color="auto"/>
        <w:left w:val="none" w:sz="0" w:space="0" w:color="auto"/>
        <w:bottom w:val="none" w:sz="0" w:space="0" w:color="auto"/>
        <w:right w:val="none" w:sz="0" w:space="0" w:color="auto"/>
      </w:divBdr>
    </w:div>
    <w:div w:id="1109160714">
      <w:bodyDiv w:val="1"/>
      <w:marLeft w:val="0"/>
      <w:marRight w:val="0"/>
      <w:marTop w:val="0"/>
      <w:marBottom w:val="0"/>
      <w:divBdr>
        <w:top w:val="none" w:sz="0" w:space="0" w:color="auto"/>
        <w:left w:val="none" w:sz="0" w:space="0" w:color="auto"/>
        <w:bottom w:val="none" w:sz="0" w:space="0" w:color="auto"/>
        <w:right w:val="none" w:sz="0" w:space="0" w:color="auto"/>
      </w:divBdr>
    </w:div>
    <w:div w:id="1120564016">
      <w:bodyDiv w:val="1"/>
      <w:marLeft w:val="0"/>
      <w:marRight w:val="0"/>
      <w:marTop w:val="0"/>
      <w:marBottom w:val="0"/>
      <w:divBdr>
        <w:top w:val="none" w:sz="0" w:space="0" w:color="auto"/>
        <w:left w:val="none" w:sz="0" w:space="0" w:color="auto"/>
        <w:bottom w:val="none" w:sz="0" w:space="0" w:color="auto"/>
        <w:right w:val="none" w:sz="0" w:space="0" w:color="auto"/>
      </w:divBdr>
    </w:div>
    <w:div w:id="1127239426">
      <w:bodyDiv w:val="1"/>
      <w:marLeft w:val="0"/>
      <w:marRight w:val="0"/>
      <w:marTop w:val="0"/>
      <w:marBottom w:val="0"/>
      <w:divBdr>
        <w:top w:val="none" w:sz="0" w:space="0" w:color="auto"/>
        <w:left w:val="none" w:sz="0" w:space="0" w:color="auto"/>
        <w:bottom w:val="none" w:sz="0" w:space="0" w:color="auto"/>
        <w:right w:val="none" w:sz="0" w:space="0" w:color="auto"/>
      </w:divBdr>
    </w:div>
    <w:div w:id="1127359510">
      <w:bodyDiv w:val="1"/>
      <w:marLeft w:val="0"/>
      <w:marRight w:val="0"/>
      <w:marTop w:val="0"/>
      <w:marBottom w:val="0"/>
      <w:divBdr>
        <w:top w:val="none" w:sz="0" w:space="0" w:color="auto"/>
        <w:left w:val="none" w:sz="0" w:space="0" w:color="auto"/>
        <w:bottom w:val="none" w:sz="0" w:space="0" w:color="auto"/>
        <w:right w:val="none" w:sz="0" w:space="0" w:color="auto"/>
      </w:divBdr>
    </w:div>
    <w:div w:id="1160730678">
      <w:bodyDiv w:val="1"/>
      <w:marLeft w:val="0"/>
      <w:marRight w:val="0"/>
      <w:marTop w:val="0"/>
      <w:marBottom w:val="0"/>
      <w:divBdr>
        <w:top w:val="none" w:sz="0" w:space="0" w:color="auto"/>
        <w:left w:val="none" w:sz="0" w:space="0" w:color="auto"/>
        <w:bottom w:val="none" w:sz="0" w:space="0" w:color="auto"/>
        <w:right w:val="none" w:sz="0" w:space="0" w:color="auto"/>
      </w:divBdr>
    </w:div>
    <w:div w:id="1170949532">
      <w:bodyDiv w:val="1"/>
      <w:marLeft w:val="0"/>
      <w:marRight w:val="0"/>
      <w:marTop w:val="0"/>
      <w:marBottom w:val="0"/>
      <w:divBdr>
        <w:top w:val="none" w:sz="0" w:space="0" w:color="auto"/>
        <w:left w:val="none" w:sz="0" w:space="0" w:color="auto"/>
        <w:bottom w:val="none" w:sz="0" w:space="0" w:color="auto"/>
        <w:right w:val="none" w:sz="0" w:space="0" w:color="auto"/>
      </w:divBdr>
    </w:div>
    <w:div w:id="1174997623">
      <w:bodyDiv w:val="1"/>
      <w:marLeft w:val="0"/>
      <w:marRight w:val="0"/>
      <w:marTop w:val="0"/>
      <w:marBottom w:val="0"/>
      <w:divBdr>
        <w:top w:val="none" w:sz="0" w:space="0" w:color="auto"/>
        <w:left w:val="none" w:sz="0" w:space="0" w:color="auto"/>
        <w:bottom w:val="none" w:sz="0" w:space="0" w:color="auto"/>
        <w:right w:val="none" w:sz="0" w:space="0" w:color="auto"/>
      </w:divBdr>
    </w:div>
    <w:div w:id="1175609207">
      <w:bodyDiv w:val="1"/>
      <w:marLeft w:val="0"/>
      <w:marRight w:val="0"/>
      <w:marTop w:val="0"/>
      <w:marBottom w:val="0"/>
      <w:divBdr>
        <w:top w:val="none" w:sz="0" w:space="0" w:color="auto"/>
        <w:left w:val="none" w:sz="0" w:space="0" w:color="auto"/>
        <w:bottom w:val="none" w:sz="0" w:space="0" w:color="auto"/>
        <w:right w:val="none" w:sz="0" w:space="0" w:color="auto"/>
      </w:divBdr>
    </w:div>
    <w:div w:id="1181823692">
      <w:bodyDiv w:val="1"/>
      <w:marLeft w:val="0"/>
      <w:marRight w:val="0"/>
      <w:marTop w:val="0"/>
      <w:marBottom w:val="0"/>
      <w:divBdr>
        <w:top w:val="none" w:sz="0" w:space="0" w:color="auto"/>
        <w:left w:val="none" w:sz="0" w:space="0" w:color="auto"/>
        <w:bottom w:val="none" w:sz="0" w:space="0" w:color="auto"/>
        <w:right w:val="none" w:sz="0" w:space="0" w:color="auto"/>
      </w:divBdr>
    </w:div>
    <w:div w:id="1186361803">
      <w:bodyDiv w:val="1"/>
      <w:marLeft w:val="0"/>
      <w:marRight w:val="0"/>
      <w:marTop w:val="0"/>
      <w:marBottom w:val="0"/>
      <w:divBdr>
        <w:top w:val="none" w:sz="0" w:space="0" w:color="auto"/>
        <w:left w:val="none" w:sz="0" w:space="0" w:color="auto"/>
        <w:bottom w:val="none" w:sz="0" w:space="0" w:color="auto"/>
        <w:right w:val="none" w:sz="0" w:space="0" w:color="auto"/>
      </w:divBdr>
    </w:div>
    <w:div w:id="1191920985">
      <w:bodyDiv w:val="1"/>
      <w:marLeft w:val="0"/>
      <w:marRight w:val="0"/>
      <w:marTop w:val="0"/>
      <w:marBottom w:val="0"/>
      <w:divBdr>
        <w:top w:val="none" w:sz="0" w:space="0" w:color="auto"/>
        <w:left w:val="none" w:sz="0" w:space="0" w:color="auto"/>
        <w:bottom w:val="none" w:sz="0" w:space="0" w:color="auto"/>
        <w:right w:val="none" w:sz="0" w:space="0" w:color="auto"/>
      </w:divBdr>
    </w:div>
    <w:div w:id="1195999193">
      <w:bodyDiv w:val="1"/>
      <w:marLeft w:val="0"/>
      <w:marRight w:val="0"/>
      <w:marTop w:val="0"/>
      <w:marBottom w:val="0"/>
      <w:divBdr>
        <w:top w:val="none" w:sz="0" w:space="0" w:color="auto"/>
        <w:left w:val="none" w:sz="0" w:space="0" w:color="auto"/>
        <w:bottom w:val="none" w:sz="0" w:space="0" w:color="auto"/>
        <w:right w:val="none" w:sz="0" w:space="0" w:color="auto"/>
      </w:divBdr>
    </w:div>
    <w:div w:id="1198619231">
      <w:bodyDiv w:val="1"/>
      <w:marLeft w:val="0"/>
      <w:marRight w:val="0"/>
      <w:marTop w:val="0"/>
      <w:marBottom w:val="0"/>
      <w:divBdr>
        <w:top w:val="none" w:sz="0" w:space="0" w:color="auto"/>
        <w:left w:val="none" w:sz="0" w:space="0" w:color="auto"/>
        <w:bottom w:val="none" w:sz="0" w:space="0" w:color="auto"/>
        <w:right w:val="none" w:sz="0" w:space="0" w:color="auto"/>
      </w:divBdr>
    </w:div>
    <w:div w:id="1203636515">
      <w:bodyDiv w:val="1"/>
      <w:marLeft w:val="0"/>
      <w:marRight w:val="0"/>
      <w:marTop w:val="0"/>
      <w:marBottom w:val="0"/>
      <w:divBdr>
        <w:top w:val="none" w:sz="0" w:space="0" w:color="auto"/>
        <w:left w:val="none" w:sz="0" w:space="0" w:color="auto"/>
        <w:bottom w:val="none" w:sz="0" w:space="0" w:color="auto"/>
        <w:right w:val="none" w:sz="0" w:space="0" w:color="auto"/>
      </w:divBdr>
    </w:div>
    <w:div w:id="1204631931">
      <w:bodyDiv w:val="1"/>
      <w:marLeft w:val="0"/>
      <w:marRight w:val="0"/>
      <w:marTop w:val="0"/>
      <w:marBottom w:val="0"/>
      <w:divBdr>
        <w:top w:val="none" w:sz="0" w:space="0" w:color="auto"/>
        <w:left w:val="none" w:sz="0" w:space="0" w:color="auto"/>
        <w:bottom w:val="none" w:sz="0" w:space="0" w:color="auto"/>
        <w:right w:val="none" w:sz="0" w:space="0" w:color="auto"/>
      </w:divBdr>
    </w:div>
    <w:div w:id="1211844461">
      <w:bodyDiv w:val="1"/>
      <w:marLeft w:val="0"/>
      <w:marRight w:val="0"/>
      <w:marTop w:val="0"/>
      <w:marBottom w:val="0"/>
      <w:divBdr>
        <w:top w:val="none" w:sz="0" w:space="0" w:color="auto"/>
        <w:left w:val="none" w:sz="0" w:space="0" w:color="auto"/>
        <w:bottom w:val="none" w:sz="0" w:space="0" w:color="auto"/>
        <w:right w:val="none" w:sz="0" w:space="0" w:color="auto"/>
      </w:divBdr>
    </w:div>
    <w:div w:id="1220046302">
      <w:bodyDiv w:val="1"/>
      <w:marLeft w:val="0"/>
      <w:marRight w:val="0"/>
      <w:marTop w:val="0"/>
      <w:marBottom w:val="0"/>
      <w:divBdr>
        <w:top w:val="none" w:sz="0" w:space="0" w:color="auto"/>
        <w:left w:val="none" w:sz="0" w:space="0" w:color="auto"/>
        <w:bottom w:val="none" w:sz="0" w:space="0" w:color="auto"/>
        <w:right w:val="none" w:sz="0" w:space="0" w:color="auto"/>
      </w:divBdr>
    </w:div>
    <w:div w:id="1223517957">
      <w:bodyDiv w:val="1"/>
      <w:marLeft w:val="0"/>
      <w:marRight w:val="0"/>
      <w:marTop w:val="0"/>
      <w:marBottom w:val="0"/>
      <w:divBdr>
        <w:top w:val="none" w:sz="0" w:space="0" w:color="auto"/>
        <w:left w:val="none" w:sz="0" w:space="0" w:color="auto"/>
        <w:bottom w:val="none" w:sz="0" w:space="0" w:color="auto"/>
        <w:right w:val="none" w:sz="0" w:space="0" w:color="auto"/>
      </w:divBdr>
    </w:div>
    <w:div w:id="1232277163">
      <w:bodyDiv w:val="1"/>
      <w:marLeft w:val="0"/>
      <w:marRight w:val="0"/>
      <w:marTop w:val="0"/>
      <w:marBottom w:val="0"/>
      <w:divBdr>
        <w:top w:val="none" w:sz="0" w:space="0" w:color="auto"/>
        <w:left w:val="none" w:sz="0" w:space="0" w:color="auto"/>
        <w:bottom w:val="none" w:sz="0" w:space="0" w:color="auto"/>
        <w:right w:val="none" w:sz="0" w:space="0" w:color="auto"/>
      </w:divBdr>
    </w:div>
    <w:div w:id="1233201342">
      <w:bodyDiv w:val="1"/>
      <w:marLeft w:val="0"/>
      <w:marRight w:val="0"/>
      <w:marTop w:val="0"/>
      <w:marBottom w:val="0"/>
      <w:divBdr>
        <w:top w:val="none" w:sz="0" w:space="0" w:color="auto"/>
        <w:left w:val="none" w:sz="0" w:space="0" w:color="auto"/>
        <w:bottom w:val="none" w:sz="0" w:space="0" w:color="auto"/>
        <w:right w:val="none" w:sz="0" w:space="0" w:color="auto"/>
      </w:divBdr>
    </w:div>
    <w:div w:id="1245602081">
      <w:bodyDiv w:val="1"/>
      <w:marLeft w:val="0"/>
      <w:marRight w:val="0"/>
      <w:marTop w:val="0"/>
      <w:marBottom w:val="0"/>
      <w:divBdr>
        <w:top w:val="none" w:sz="0" w:space="0" w:color="auto"/>
        <w:left w:val="none" w:sz="0" w:space="0" w:color="auto"/>
        <w:bottom w:val="none" w:sz="0" w:space="0" w:color="auto"/>
        <w:right w:val="none" w:sz="0" w:space="0" w:color="auto"/>
      </w:divBdr>
    </w:div>
    <w:div w:id="1246376132">
      <w:bodyDiv w:val="1"/>
      <w:marLeft w:val="0"/>
      <w:marRight w:val="0"/>
      <w:marTop w:val="0"/>
      <w:marBottom w:val="0"/>
      <w:divBdr>
        <w:top w:val="none" w:sz="0" w:space="0" w:color="auto"/>
        <w:left w:val="none" w:sz="0" w:space="0" w:color="auto"/>
        <w:bottom w:val="none" w:sz="0" w:space="0" w:color="auto"/>
        <w:right w:val="none" w:sz="0" w:space="0" w:color="auto"/>
      </w:divBdr>
    </w:div>
    <w:div w:id="1258294818">
      <w:bodyDiv w:val="1"/>
      <w:marLeft w:val="0"/>
      <w:marRight w:val="0"/>
      <w:marTop w:val="0"/>
      <w:marBottom w:val="0"/>
      <w:divBdr>
        <w:top w:val="none" w:sz="0" w:space="0" w:color="auto"/>
        <w:left w:val="none" w:sz="0" w:space="0" w:color="auto"/>
        <w:bottom w:val="none" w:sz="0" w:space="0" w:color="auto"/>
        <w:right w:val="none" w:sz="0" w:space="0" w:color="auto"/>
      </w:divBdr>
    </w:div>
    <w:div w:id="1284113826">
      <w:bodyDiv w:val="1"/>
      <w:marLeft w:val="0"/>
      <w:marRight w:val="0"/>
      <w:marTop w:val="0"/>
      <w:marBottom w:val="0"/>
      <w:divBdr>
        <w:top w:val="none" w:sz="0" w:space="0" w:color="auto"/>
        <w:left w:val="none" w:sz="0" w:space="0" w:color="auto"/>
        <w:bottom w:val="none" w:sz="0" w:space="0" w:color="auto"/>
        <w:right w:val="none" w:sz="0" w:space="0" w:color="auto"/>
      </w:divBdr>
    </w:div>
    <w:div w:id="1284775517">
      <w:bodyDiv w:val="1"/>
      <w:marLeft w:val="0"/>
      <w:marRight w:val="0"/>
      <w:marTop w:val="0"/>
      <w:marBottom w:val="0"/>
      <w:divBdr>
        <w:top w:val="none" w:sz="0" w:space="0" w:color="auto"/>
        <w:left w:val="none" w:sz="0" w:space="0" w:color="auto"/>
        <w:bottom w:val="none" w:sz="0" w:space="0" w:color="auto"/>
        <w:right w:val="none" w:sz="0" w:space="0" w:color="auto"/>
      </w:divBdr>
    </w:div>
    <w:div w:id="1304584506">
      <w:bodyDiv w:val="1"/>
      <w:marLeft w:val="0"/>
      <w:marRight w:val="0"/>
      <w:marTop w:val="0"/>
      <w:marBottom w:val="0"/>
      <w:divBdr>
        <w:top w:val="none" w:sz="0" w:space="0" w:color="auto"/>
        <w:left w:val="none" w:sz="0" w:space="0" w:color="auto"/>
        <w:bottom w:val="none" w:sz="0" w:space="0" w:color="auto"/>
        <w:right w:val="none" w:sz="0" w:space="0" w:color="auto"/>
      </w:divBdr>
    </w:div>
    <w:div w:id="1310477917">
      <w:bodyDiv w:val="1"/>
      <w:marLeft w:val="0"/>
      <w:marRight w:val="0"/>
      <w:marTop w:val="0"/>
      <w:marBottom w:val="0"/>
      <w:divBdr>
        <w:top w:val="none" w:sz="0" w:space="0" w:color="auto"/>
        <w:left w:val="none" w:sz="0" w:space="0" w:color="auto"/>
        <w:bottom w:val="none" w:sz="0" w:space="0" w:color="auto"/>
        <w:right w:val="none" w:sz="0" w:space="0" w:color="auto"/>
      </w:divBdr>
    </w:div>
    <w:div w:id="1322806610">
      <w:bodyDiv w:val="1"/>
      <w:marLeft w:val="0"/>
      <w:marRight w:val="0"/>
      <w:marTop w:val="0"/>
      <w:marBottom w:val="0"/>
      <w:divBdr>
        <w:top w:val="none" w:sz="0" w:space="0" w:color="auto"/>
        <w:left w:val="none" w:sz="0" w:space="0" w:color="auto"/>
        <w:bottom w:val="none" w:sz="0" w:space="0" w:color="auto"/>
        <w:right w:val="none" w:sz="0" w:space="0" w:color="auto"/>
      </w:divBdr>
    </w:div>
    <w:div w:id="1327048169">
      <w:bodyDiv w:val="1"/>
      <w:marLeft w:val="0"/>
      <w:marRight w:val="0"/>
      <w:marTop w:val="0"/>
      <w:marBottom w:val="0"/>
      <w:divBdr>
        <w:top w:val="none" w:sz="0" w:space="0" w:color="auto"/>
        <w:left w:val="none" w:sz="0" w:space="0" w:color="auto"/>
        <w:bottom w:val="none" w:sz="0" w:space="0" w:color="auto"/>
        <w:right w:val="none" w:sz="0" w:space="0" w:color="auto"/>
      </w:divBdr>
    </w:div>
    <w:div w:id="1327782217">
      <w:bodyDiv w:val="1"/>
      <w:marLeft w:val="0"/>
      <w:marRight w:val="0"/>
      <w:marTop w:val="0"/>
      <w:marBottom w:val="0"/>
      <w:divBdr>
        <w:top w:val="none" w:sz="0" w:space="0" w:color="auto"/>
        <w:left w:val="none" w:sz="0" w:space="0" w:color="auto"/>
        <w:bottom w:val="none" w:sz="0" w:space="0" w:color="auto"/>
        <w:right w:val="none" w:sz="0" w:space="0" w:color="auto"/>
      </w:divBdr>
    </w:div>
    <w:div w:id="1329946522">
      <w:bodyDiv w:val="1"/>
      <w:marLeft w:val="0"/>
      <w:marRight w:val="0"/>
      <w:marTop w:val="0"/>
      <w:marBottom w:val="0"/>
      <w:divBdr>
        <w:top w:val="none" w:sz="0" w:space="0" w:color="auto"/>
        <w:left w:val="none" w:sz="0" w:space="0" w:color="auto"/>
        <w:bottom w:val="none" w:sz="0" w:space="0" w:color="auto"/>
        <w:right w:val="none" w:sz="0" w:space="0" w:color="auto"/>
      </w:divBdr>
    </w:div>
    <w:div w:id="1331064458">
      <w:bodyDiv w:val="1"/>
      <w:marLeft w:val="0"/>
      <w:marRight w:val="0"/>
      <w:marTop w:val="0"/>
      <w:marBottom w:val="0"/>
      <w:divBdr>
        <w:top w:val="none" w:sz="0" w:space="0" w:color="auto"/>
        <w:left w:val="none" w:sz="0" w:space="0" w:color="auto"/>
        <w:bottom w:val="none" w:sz="0" w:space="0" w:color="auto"/>
        <w:right w:val="none" w:sz="0" w:space="0" w:color="auto"/>
      </w:divBdr>
    </w:div>
    <w:div w:id="1374421793">
      <w:bodyDiv w:val="1"/>
      <w:marLeft w:val="0"/>
      <w:marRight w:val="0"/>
      <w:marTop w:val="0"/>
      <w:marBottom w:val="0"/>
      <w:divBdr>
        <w:top w:val="none" w:sz="0" w:space="0" w:color="auto"/>
        <w:left w:val="none" w:sz="0" w:space="0" w:color="auto"/>
        <w:bottom w:val="none" w:sz="0" w:space="0" w:color="auto"/>
        <w:right w:val="none" w:sz="0" w:space="0" w:color="auto"/>
      </w:divBdr>
    </w:div>
    <w:div w:id="1374771830">
      <w:bodyDiv w:val="1"/>
      <w:marLeft w:val="0"/>
      <w:marRight w:val="0"/>
      <w:marTop w:val="0"/>
      <w:marBottom w:val="0"/>
      <w:divBdr>
        <w:top w:val="none" w:sz="0" w:space="0" w:color="auto"/>
        <w:left w:val="none" w:sz="0" w:space="0" w:color="auto"/>
        <w:bottom w:val="none" w:sz="0" w:space="0" w:color="auto"/>
        <w:right w:val="none" w:sz="0" w:space="0" w:color="auto"/>
      </w:divBdr>
    </w:div>
    <w:div w:id="1378622354">
      <w:bodyDiv w:val="1"/>
      <w:marLeft w:val="0"/>
      <w:marRight w:val="0"/>
      <w:marTop w:val="0"/>
      <w:marBottom w:val="0"/>
      <w:divBdr>
        <w:top w:val="none" w:sz="0" w:space="0" w:color="auto"/>
        <w:left w:val="none" w:sz="0" w:space="0" w:color="auto"/>
        <w:bottom w:val="none" w:sz="0" w:space="0" w:color="auto"/>
        <w:right w:val="none" w:sz="0" w:space="0" w:color="auto"/>
      </w:divBdr>
    </w:div>
    <w:div w:id="1384328634">
      <w:bodyDiv w:val="1"/>
      <w:marLeft w:val="0"/>
      <w:marRight w:val="0"/>
      <w:marTop w:val="0"/>
      <w:marBottom w:val="0"/>
      <w:divBdr>
        <w:top w:val="none" w:sz="0" w:space="0" w:color="auto"/>
        <w:left w:val="none" w:sz="0" w:space="0" w:color="auto"/>
        <w:bottom w:val="none" w:sz="0" w:space="0" w:color="auto"/>
        <w:right w:val="none" w:sz="0" w:space="0" w:color="auto"/>
      </w:divBdr>
    </w:div>
    <w:div w:id="1385905649">
      <w:bodyDiv w:val="1"/>
      <w:marLeft w:val="0"/>
      <w:marRight w:val="0"/>
      <w:marTop w:val="0"/>
      <w:marBottom w:val="0"/>
      <w:divBdr>
        <w:top w:val="none" w:sz="0" w:space="0" w:color="auto"/>
        <w:left w:val="none" w:sz="0" w:space="0" w:color="auto"/>
        <w:bottom w:val="none" w:sz="0" w:space="0" w:color="auto"/>
        <w:right w:val="none" w:sz="0" w:space="0" w:color="auto"/>
      </w:divBdr>
    </w:div>
    <w:div w:id="1387221465">
      <w:bodyDiv w:val="1"/>
      <w:marLeft w:val="0"/>
      <w:marRight w:val="0"/>
      <w:marTop w:val="0"/>
      <w:marBottom w:val="0"/>
      <w:divBdr>
        <w:top w:val="none" w:sz="0" w:space="0" w:color="auto"/>
        <w:left w:val="none" w:sz="0" w:space="0" w:color="auto"/>
        <w:bottom w:val="none" w:sz="0" w:space="0" w:color="auto"/>
        <w:right w:val="none" w:sz="0" w:space="0" w:color="auto"/>
      </w:divBdr>
    </w:div>
    <w:div w:id="1391688571">
      <w:bodyDiv w:val="1"/>
      <w:marLeft w:val="0"/>
      <w:marRight w:val="0"/>
      <w:marTop w:val="0"/>
      <w:marBottom w:val="0"/>
      <w:divBdr>
        <w:top w:val="none" w:sz="0" w:space="0" w:color="auto"/>
        <w:left w:val="none" w:sz="0" w:space="0" w:color="auto"/>
        <w:bottom w:val="none" w:sz="0" w:space="0" w:color="auto"/>
        <w:right w:val="none" w:sz="0" w:space="0" w:color="auto"/>
      </w:divBdr>
    </w:div>
    <w:div w:id="1393388703">
      <w:bodyDiv w:val="1"/>
      <w:marLeft w:val="0"/>
      <w:marRight w:val="0"/>
      <w:marTop w:val="0"/>
      <w:marBottom w:val="0"/>
      <w:divBdr>
        <w:top w:val="none" w:sz="0" w:space="0" w:color="auto"/>
        <w:left w:val="none" w:sz="0" w:space="0" w:color="auto"/>
        <w:bottom w:val="none" w:sz="0" w:space="0" w:color="auto"/>
        <w:right w:val="none" w:sz="0" w:space="0" w:color="auto"/>
      </w:divBdr>
    </w:div>
    <w:div w:id="1400712052">
      <w:bodyDiv w:val="1"/>
      <w:marLeft w:val="0"/>
      <w:marRight w:val="0"/>
      <w:marTop w:val="0"/>
      <w:marBottom w:val="0"/>
      <w:divBdr>
        <w:top w:val="none" w:sz="0" w:space="0" w:color="auto"/>
        <w:left w:val="none" w:sz="0" w:space="0" w:color="auto"/>
        <w:bottom w:val="none" w:sz="0" w:space="0" w:color="auto"/>
        <w:right w:val="none" w:sz="0" w:space="0" w:color="auto"/>
      </w:divBdr>
    </w:div>
    <w:div w:id="1404643338">
      <w:bodyDiv w:val="1"/>
      <w:marLeft w:val="0"/>
      <w:marRight w:val="0"/>
      <w:marTop w:val="0"/>
      <w:marBottom w:val="0"/>
      <w:divBdr>
        <w:top w:val="none" w:sz="0" w:space="0" w:color="auto"/>
        <w:left w:val="none" w:sz="0" w:space="0" w:color="auto"/>
        <w:bottom w:val="none" w:sz="0" w:space="0" w:color="auto"/>
        <w:right w:val="none" w:sz="0" w:space="0" w:color="auto"/>
      </w:divBdr>
    </w:div>
    <w:div w:id="1438601963">
      <w:bodyDiv w:val="1"/>
      <w:marLeft w:val="0"/>
      <w:marRight w:val="0"/>
      <w:marTop w:val="0"/>
      <w:marBottom w:val="0"/>
      <w:divBdr>
        <w:top w:val="none" w:sz="0" w:space="0" w:color="auto"/>
        <w:left w:val="none" w:sz="0" w:space="0" w:color="auto"/>
        <w:bottom w:val="none" w:sz="0" w:space="0" w:color="auto"/>
        <w:right w:val="none" w:sz="0" w:space="0" w:color="auto"/>
      </w:divBdr>
    </w:div>
    <w:div w:id="1454447764">
      <w:bodyDiv w:val="1"/>
      <w:marLeft w:val="0"/>
      <w:marRight w:val="0"/>
      <w:marTop w:val="0"/>
      <w:marBottom w:val="0"/>
      <w:divBdr>
        <w:top w:val="none" w:sz="0" w:space="0" w:color="auto"/>
        <w:left w:val="none" w:sz="0" w:space="0" w:color="auto"/>
        <w:bottom w:val="none" w:sz="0" w:space="0" w:color="auto"/>
        <w:right w:val="none" w:sz="0" w:space="0" w:color="auto"/>
      </w:divBdr>
    </w:div>
    <w:div w:id="1460109166">
      <w:bodyDiv w:val="1"/>
      <w:marLeft w:val="0"/>
      <w:marRight w:val="0"/>
      <w:marTop w:val="0"/>
      <w:marBottom w:val="0"/>
      <w:divBdr>
        <w:top w:val="none" w:sz="0" w:space="0" w:color="auto"/>
        <w:left w:val="none" w:sz="0" w:space="0" w:color="auto"/>
        <w:bottom w:val="none" w:sz="0" w:space="0" w:color="auto"/>
        <w:right w:val="none" w:sz="0" w:space="0" w:color="auto"/>
      </w:divBdr>
    </w:div>
    <w:div w:id="1463620816">
      <w:bodyDiv w:val="1"/>
      <w:marLeft w:val="0"/>
      <w:marRight w:val="0"/>
      <w:marTop w:val="0"/>
      <w:marBottom w:val="0"/>
      <w:divBdr>
        <w:top w:val="none" w:sz="0" w:space="0" w:color="auto"/>
        <w:left w:val="none" w:sz="0" w:space="0" w:color="auto"/>
        <w:bottom w:val="none" w:sz="0" w:space="0" w:color="auto"/>
        <w:right w:val="none" w:sz="0" w:space="0" w:color="auto"/>
      </w:divBdr>
    </w:div>
    <w:div w:id="1464926792">
      <w:bodyDiv w:val="1"/>
      <w:marLeft w:val="0"/>
      <w:marRight w:val="0"/>
      <w:marTop w:val="0"/>
      <w:marBottom w:val="0"/>
      <w:divBdr>
        <w:top w:val="none" w:sz="0" w:space="0" w:color="auto"/>
        <w:left w:val="none" w:sz="0" w:space="0" w:color="auto"/>
        <w:bottom w:val="none" w:sz="0" w:space="0" w:color="auto"/>
        <w:right w:val="none" w:sz="0" w:space="0" w:color="auto"/>
      </w:divBdr>
    </w:div>
    <w:div w:id="1466269439">
      <w:bodyDiv w:val="1"/>
      <w:marLeft w:val="0"/>
      <w:marRight w:val="0"/>
      <w:marTop w:val="0"/>
      <w:marBottom w:val="0"/>
      <w:divBdr>
        <w:top w:val="none" w:sz="0" w:space="0" w:color="auto"/>
        <w:left w:val="none" w:sz="0" w:space="0" w:color="auto"/>
        <w:bottom w:val="none" w:sz="0" w:space="0" w:color="auto"/>
        <w:right w:val="none" w:sz="0" w:space="0" w:color="auto"/>
      </w:divBdr>
    </w:div>
    <w:div w:id="1469517833">
      <w:bodyDiv w:val="1"/>
      <w:marLeft w:val="0"/>
      <w:marRight w:val="0"/>
      <w:marTop w:val="0"/>
      <w:marBottom w:val="0"/>
      <w:divBdr>
        <w:top w:val="none" w:sz="0" w:space="0" w:color="auto"/>
        <w:left w:val="none" w:sz="0" w:space="0" w:color="auto"/>
        <w:bottom w:val="none" w:sz="0" w:space="0" w:color="auto"/>
        <w:right w:val="none" w:sz="0" w:space="0" w:color="auto"/>
      </w:divBdr>
    </w:div>
    <w:div w:id="1474256929">
      <w:bodyDiv w:val="1"/>
      <w:marLeft w:val="0"/>
      <w:marRight w:val="0"/>
      <w:marTop w:val="0"/>
      <w:marBottom w:val="0"/>
      <w:divBdr>
        <w:top w:val="none" w:sz="0" w:space="0" w:color="auto"/>
        <w:left w:val="none" w:sz="0" w:space="0" w:color="auto"/>
        <w:bottom w:val="none" w:sz="0" w:space="0" w:color="auto"/>
        <w:right w:val="none" w:sz="0" w:space="0" w:color="auto"/>
      </w:divBdr>
    </w:div>
    <w:div w:id="1477449863">
      <w:bodyDiv w:val="1"/>
      <w:marLeft w:val="0"/>
      <w:marRight w:val="0"/>
      <w:marTop w:val="0"/>
      <w:marBottom w:val="0"/>
      <w:divBdr>
        <w:top w:val="none" w:sz="0" w:space="0" w:color="auto"/>
        <w:left w:val="none" w:sz="0" w:space="0" w:color="auto"/>
        <w:bottom w:val="none" w:sz="0" w:space="0" w:color="auto"/>
        <w:right w:val="none" w:sz="0" w:space="0" w:color="auto"/>
      </w:divBdr>
    </w:div>
    <w:div w:id="1483615181">
      <w:bodyDiv w:val="1"/>
      <w:marLeft w:val="0"/>
      <w:marRight w:val="0"/>
      <w:marTop w:val="0"/>
      <w:marBottom w:val="0"/>
      <w:divBdr>
        <w:top w:val="none" w:sz="0" w:space="0" w:color="auto"/>
        <w:left w:val="none" w:sz="0" w:space="0" w:color="auto"/>
        <w:bottom w:val="none" w:sz="0" w:space="0" w:color="auto"/>
        <w:right w:val="none" w:sz="0" w:space="0" w:color="auto"/>
      </w:divBdr>
    </w:div>
    <w:div w:id="1492716773">
      <w:bodyDiv w:val="1"/>
      <w:marLeft w:val="0"/>
      <w:marRight w:val="0"/>
      <w:marTop w:val="0"/>
      <w:marBottom w:val="0"/>
      <w:divBdr>
        <w:top w:val="none" w:sz="0" w:space="0" w:color="auto"/>
        <w:left w:val="none" w:sz="0" w:space="0" w:color="auto"/>
        <w:bottom w:val="none" w:sz="0" w:space="0" w:color="auto"/>
        <w:right w:val="none" w:sz="0" w:space="0" w:color="auto"/>
      </w:divBdr>
    </w:div>
    <w:div w:id="1500464490">
      <w:bodyDiv w:val="1"/>
      <w:marLeft w:val="0"/>
      <w:marRight w:val="0"/>
      <w:marTop w:val="0"/>
      <w:marBottom w:val="0"/>
      <w:divBdr>
        <w:top w:val="none" w:sz="0" w:space="0" w:color="auto"/>
        <w:left w:val="none" w:sz="0" w:space="0" w:color="auto"/>
        <w:bottom w:val="none" w:sz="0" w:space="0" w:color="auto"/>
        <w:right w:val="none" w:sz="0" w:space="0" w:color="auto"/>
      </w:divBdr>
    </w:div>
    <w:div w:id="1502350391">
      <w:bodyDiv w:val="1"/>
      <w:marLeft w:val="0"/>
      <w:marRight w:val="0"/>
      <w:marTop w:val="0"/>
      <w:marBottom w:val="0"/>
      <w:divBdr>
        <w:top w:val="none" w:sz="0" w:space="0" w:color="auto"/>
        <w:left w:val="none" w:sz="0" w:space="0" w:color="auto"/>
        <w:bottom w:val="none" w:sz="0" w:space="0" w:color="auto"/>
        <w:right w:val="none" w:sz="0" w:space="0" w:color="auto"/>
      </w:divBdr>
    </w:div>
    <w:div w:id="1503738263">
      <w:bodyDiv w:val="1"/>
      <w:marLeft w:val="0"/>
      <w:marRight w:val="0"/>
      <w:marTop w:val="0"/>
      <w:marBottom w:val="0"/>
      <w:divBdr>
        <w:top w:val="none" w:sz="0" w:space="0" w:color="auto"/>
        <w:left w:val="none" w:sz="0" w:space="0" w:color="auto"/>
        <w:bottom w:val="none" w:sz="0" w:space="0" w:color="auto"/>
        <w:right w:val="none" w:sz="0" w:space="0" w:color="auto"/>
      </w:divBdr>
    </w:div>
    <w:div w:id="1506091952">
      <w:bodyDiv w:val="1"/>
      <w:marLeft w:val="0"/>
      <w:marRight w:val="0"/>
      <w:marTop w:val="0"/>
      <w:marBottom w:val="0"/>
      <w:divBdr>
        <w:top w:val="none" w:sz="0" w:space="0" w:color="auto"/>
        <w:left w:val="none" w:sz="0" w:space="0" w:color="auto"/>
        <w:bottom w:val="none" w:sz="0" w:space="0" w:color="auto"/>
        <w:right w:val="none" w:sz="0" w:space="0" w:color="auto"/>
      </w:divBdr>
    </w:div>
    <w:div w:id="1512991693">
      <w:bodyDiv w:val="1"/>
      <w:marLeft w:val="0"/>
      <w:marRight w:val="0"/>
      <w:marTop w:val="0"/>
      <w:marBottom w:val="0"/>
      <w:divBdr>
        <w:top w:val="none" w:sz="0" w:space="0" w:color="auto"/>
        <w:left w:val="none" w:sz="0" w:space="0" w:color="auto"/>
        <w:bottom w:val="none" w:sz="0" w:space="0" w:color="auto"/>
        <w:right w:val="none" w:sz="0" w:space="0" w:color="auto"/>
      </w:divBdr>
    </w:div>
    <w:div w:id="1517576698">
      <w:bodyDiv w:val="1"/>
      <w:marLeft w:val="0"/>
      <w:marRight w:val="0"/>
      <w:marTop w:val="0"/>
      <w:marBottom w:val="0"/>
      <w:divBdr>
        <w:top w:val="none" w:sz="0" w:space="0" w:color="auto"/>
        <w:left w:val="none" w:sz="0" w:space="0" w:color="auto"/>
        <w:bottom w:val="none" w:sz="0" w:space="0" w:color="auto"/>
        <w:right w:val="none" w:sz="0" w:space="0" w:color="auto"/>
      </w:divBdr>
    </w:div>
    <w:div w:id="1537623040">
      <w:bodyDiv w:val="1"/>
      <w:marLeft w:val="0"/>
      <w:marRight w:val="0"/>
      <w:marTop w:val="0"/>
      <w:marBottom w:val="0"/>
      <w:divBdr>
        <w:top w:val="none" w:sz="0" w:space="0" w:color="auto"/>
        <w:left w:val="none" w:sz="0" w:space="0" w:color="auto"/>
        <w:bottom w:val="none" w:sz="0" w:space="0" w:color="auto"/>
        <w:right w:val="none" w:sz="0" w:space="0" w:color="auto"/>
      </w:divBdr>
    </w:div>
    <w:div w:id="1538470785">
      <w:bodyDiv w:val="1"/>
      <w:marLeft w:val="0"/>
      <w:marRight w:val="0"/>
      <w:marTop w:val="0"/>
      <w:marBottom w:val="0"/>
      <w:divBdr>
        <w:top w:val="none" w:sz="0" w:space="0" w:color="auto"/>
        <w:left w:val="none" w:sz="0" w:space="0" w:color="auto"/>
        <w:bottom w:val="none" w:sz="0" w:space="0" w:color="auto"/>
        <w:right w:val="none" w:sz="0" w:space="0" w:color="auto"/>
      </w:divBdr>
    </w:div>
    <w:div w:id="1542009874">
      <w:bodyDiv w:val="1"/>
      <w:marLeft w:val="0"/>
      <w:marRight w:val="0"/>
      <w:marTop w:val="0"/>
      <w:marBottom w:val="0"/>
      <w:divBdr>
        <w:top w:val="none" w:sz="0" w:space="0" w:color="auto"/>
        <w:left w:val="none" w:sz="0" w:space="0" w:color="auto"/>
        <w:bottom w:val="none" w:sz="0" w:space="0" w:color="auto"/>
        <w:right w:val="none" w:sz="0" w:space="0" w:color="auto"/>
      </w:divBdr>
    </w:div>
    <w:div w:id="1547570994">
      <w:bodyDiv w:val="1"/>
      <w:marLeft w:val="0"/>
      <w:marRight w:val="0"/>
      <w:marTop w:val="0"/>
      <w:marBottom w:val="0"/>
      <w:divBdr>
        <w:top w:val="none" w:sz="0" w:space="0" w:color="auto"/>
        <w:left w:val="none" w:sz="0" w:space="0" w:color="auto"/>
        <w:bottom w:val="none" w:sz="0" w:space="0" w:color="auto"/>
        <w:right w:val="none" w:sz="0" w:space="0" w:color="auto"/>
      </w:divBdr>
    </w:div>
    <w:div w:id="1551647053">
      <w:bodyDiv w:val="1"/>
      <w:marLeft w:val="0"/>
      <w:marRight w:val="0"/>
      <w:marTop w:val="0"/>
      <w:marBottom w:val="0"/>
      <w:divBdr>
        <w:top w:val="none" w:sz="0" w:space="0" w:color="auto"/>
        <w:left w:val="none" w:sz="0" w:space="0" w:color="auto"/>
        <w:bottom w:val="none" w:sz="0" w:space="0" w:color="auto"/>
        <w:right w:val="none" w:sz="0" w:space="0" w:color="auto"/>
      </w:divBdr>
    </w:div>
    <w:div w:id="1553692852">
      <w:bodyDiv w:val="1"/>
      <w:marLeft w:val="0"/>
      <w:marRight w:val="0"/>
      <w:marTop w:val="0"/>
      <w:marBottom w:val="0"/>
      <w:divBdr>
        <w:top w:val="none" w:sz="0" w:space="0" w:color="auto"/>
        <w:left w:val="none" w:sz="0" w:space="0" w:color="auto"/>
        <w:bottom w:val="none" w:sz="0" w:space="0" w:color="auto"/>
        <w:right w:val="none" w:sz="0" w:space="0" w:color="auto"/>
      </w:divBdr>
    </w:div>
    <w:div w:id="1556506400">
      <w:bodyDiv w:val="1"/>
      <w:marLeft w:val="0"/>
      <w:marRight w:val="0"/>
      <w:marTop w:val="0"/>
      <w:marBottom w:val="0"/>
      <w:divBdr>
        <w:top w:val="none" w:sz="0" w:space="0" w:color="auto"/>
        <w:left w:val="none" w:sz="0" w:space="0" w:color="auto"/>
        <w:bottom w:val="none" w:sz="0" w:space="0" w:color="auto"/>
        <w:right w:val="none" w:sz="0" w:space="0" w:color="auto"/>
      </w:divBdr>
    </w:div>
    <w:div w:id="1558129177">
      <w:bodyDiv w:val="1"/>
      <w:marLeft w:val="0"/>
      <w:marRight w:val="0"/>
      <w:marTop w:val="0"/>
      <w:marBottom w:val="0"/>
      <w:divBdr>
        <w:top w:val="none" w:sz="0" w:space="0" w:color="auto"/>
        <w:left w:val="none" w:sz="0" w:space="0" w:color="auto"/>
        <w:bottom w:val="none" w:sz="0" w:space="0" w:color="auto"/>
        <w:right w:val="none" w:sz="0" w:space="0" w:color="auto"/>
      </w:divBdr>
    </w:div>
    <w:div w:id="1565986162">
      <w:bodyDiv w:val="1"/>
      <w:marLeft w:val="0"/>
      <w:marRight w:val="0"/>
      <w:marTop w:val="0"/>
      <w:marBottom w:val="0"/>
      <w:divBdr>
        <w:top w:val="none" w:sz="0" w:space="0" w:color="auto"/>
        <w:left w:val="none" w:sz="0" w:space="0" w:color="auto"/>
        <w:bottom w:val="none" w:sz="0" w:space="0" w:color="auto"/>
        <w:right w:val="none" w:sz="0" w:space="0" w:color="auto"/>
      </w:divBdr>
    </w:div>
    <w:div w:id="1567447207">
      <w:bodyDiv w:val="1"/>
      <w:marLeft w:val="0"/>
      <w:marRight w:val="0"/>
      <w:marTop w:val="0"/>
      <w:marBottom w:val="0"/>
      <w:divBdr>
        <w:top w:val="none" w:sz="0" w:space="0" w:color="auto"/>
        <w:left w:val="none" w:sz="0" w:space="0" w:color="auto"/>
        <w:bottom w:val="none" w:sz="0" w:space="0" w:color="auto"/>
        <w:right w:val="none" w:sz="0" w:space="0" w:color="auto"/>
      </w:divBdr>
    </w:div>
    <w:div w:id="1568687811">
      <w:bodyDiv w:val="1"/>
      <w:marLeft w:val="0"/>
      <w:marRight w:val="0"/>
      <w:marTop w:val="0"/>
      <w:marBottom w:val="0"/>
      <w:divBdr>
        <w:top w:val="none" w:sz="0" w:space="0" w:color="auto"/>
        <w:left w:val="none" w:sz="0" w:space="0" w:color="auto"/>
        <w:bottom w:val="none" w:sz="0" w:space="0" w:color="auto"/>
        <w:right w:val="none" w:sz="0" w:space="0" w:color="auto"/>
      </w:divBdr>
    </w:div>
    <w:div w:id="1575621534">
      <w:bodyDiv w:val="1"/>
      <w:marLeft w:val="0"/>
      <w:marRight w:val="0"/>
      <w:marTop w:val="0"/>
      <w:marBottom w:val="0"/>
      <w:divBdr>
        <w:top w:val="none" w:sz="0" w:space="0" w:color="auto"/>
        <w:left w:val="none" w:sz="0" w:space="0" w:color="auto"/>
        <w:bottom w:val="none" w:sz="0" w:space="0" w:color="auto"/>
        <w:right w:val="none" w:sz="0" w:space="0" w:color="auto"/>
      </w:divBdr>
    </w:div>
    <w:div w:id="1580208576">
      <w:bodyDiv w:val="1"/>
      <w:marLeft w:val="0"/>
      <w:marRight w:val="0"/>
      <w:marTop w:val="0"/>
      <w:marBottom w:val="0"/>
      <w:divBdr>
        <w:top w:val="none" w:sz="0" w:space="0" w:color="auto"/>
        <w:left w:val="none" w:sz="0" w:space="0" w:color="auto"/>
        <w:bottom w:val="none" w:sz="0" w:space="0" w:color="auto"/>
        <w:right w:val="none" w:sz="0" w:space="0" w:color="auto"/>
      </w:divBdr>
    </w:div>
    <w:div w:id="1590649671">
      <w:bodyDiv w:val="1"/>
      <w:marLeft w:val="0"/>
      <w:marRight w:val="0"/>
      <w:marTop w:val="0"/>
      <w:marBottom w:val="0"/>
      <w:divBdr>
        <w:top w:val="none" w:sz="0" w:space="0" w:color="auto"/>
        <w:left w:val="none" w:sz="0" w:space="0" w:color="auto"/>
        <w:bottom w:val="none" w:sz="0" w:space="0" w:color="auto"/>
        <w:right w:val="none" w:sz="0" w:space="0" w:color="auto"/>
      </w:divBdr>
    </w:div>
    <w:div w:id="1606301507">
      <w:bodyDiv w:val="1"/>
      <w:marLeft w:val="0"/>
      <w:marRight w:val="0"/>
      <w:marTop w:val="0"/>
      <w:marBottom w:val="0"/>
      <w:divBdr>
        <w:top w:val="none" w:sz="0" w:space="0" w:color="auto"/>
        <w:left w:val="none" w:sz="0" w:space="0" w:color="auto"/>
        <w:bottom w:val="none" w:sz="0" w:space="0" w:color="auto"/>
        <w:right w:val="none" w:sz="0" w:space="0" w:color="auto"/>
      </w:divBdr>
    </w:div>
    <w:div w:id="1606690885">
      <w:bodyDiv w:val="1"/>
      <w:marLeft w:val="0"/>
      <w:marRight w:val="0"/>
      <w:marTop w:val="0"/>
      <w:marBottom w:val="0"/>
      <w:divBdr>
        <w:top w:val="none" w:sz="0" w:space="0" w:color="auto"/>
        <w:left w:val="none" w:sz="0" w:space="0" w:color="auto"/>
        <w:bottom w:val="none" w:sz="0" w:space="0" w:color="auto"/>
        <w:right w:val="none" w:sz="0" w:space="0" w:color="auto"/>
      </w:divBdr>
    </w:div>
    <w:div w:id="1609312610">
      <w:bodyDiv w:val="1"/>
      <w:marLeft w:val="0"/>
      <w:marRight w:val="0"/>
      <w:marTop w:val="0"/>
      <w:marBottom w:val="0"/>
      <w:divBdr>
        <w:top w:val="none" w:sz="0" w:space="0" w:color="auto"/>
        <w:left w:val="none" w:sz="0" w:space="0" w:color="auto"/>
        <w:bottom w:val="none" w:sz="0" w:space="0" w:color="auto"/>
        <w:right w:val="none" w:sz="0" w:space="0" w:color="auto"/>
      </w:divBdr>
    </w:div>
    <w:div w:id="1615551755">
      <w:bodyDiv w:val="1"/>
      <w:marLeft w:val="0"/>
      <w:marRight w:val="0"/>
      <w:marTop w:val="0"/>
      <w:marBottom w:val="0"/>
      <w:divBdr>
        <w:top w:val="none" w:sz="0" w:space="0" w:color="auto"/>
        <w:left w:val="none" w:sz="0" w:space="0" w:color="auto"/>
        <w:bottom w:val="none" w:sz="0" w:space="0" w:color="auto"/>
        <w:right w:val="none" w:sz="0" w:space="0" w:color="auto"/>
      </w:divBdr>
    </w:div>
    <w:div w:id="1623612794">
      <w:bodyDiv w:val="1"/>
      <w:marLeft w:val="0"/>
      <w:marRight w:val="0"/>
      <w:marTop w:val="0"/>
      <w:marBottom w:val="0"/>
      <w:divBdr>
        <w:top w:val="none" w:sz="0" w:space="0" w:color="auto"/>
        <w:left w:val="none" w:sz="0" w:space="0" w:color="auto"/>
        <w:bottom w:val="none" w:sz="0" w:space="0" w:color="auto"/>
        <w:right w:val="none" w:sz="0" w:space="0" w:color="auto"/>
      </w:divBdr>
    </w:div>
    <w:div w:id="1623995014">
      <w:bodyDiv w:val="1"/>
      <w:marLeft w:val="0"/>
      <w:marRight w:val="0"/>
      <w:marTop w:val="0"/>
      <w:marBottom w:val="0"/>
      <w:divBdr>
        <w:top w:val="none" w:sz="0" w:space="0" w:color="auto"/>
        <w:left w:val="none" w:sz="0" w:space="0" w:color="auto"/>
        <w:bottom w:val="none" w:sz="0" w:space="0" w:color="auto"/>
        <w:right w:val="none" w:sz="0" w:space="0" w:color="auto"/>
      </w:divBdr>
    </w:div>
    <w:div w:id="1626231536">
      <w:bodyDiv w:val="1"/>
      <w:marLeft w:val="0"/>
      <w:marRight w:val="0"/>
      <w:marTop w:val="0"/>
      <w:marBottom w:val="0"/>
      <w:divBdr>
        <w:top w:val="none" w:sz="0" w:space="0" w:color="auto"/>
        <w:left w:val="none" w:sz="0" w:space="0" w:color="auto"/>
        <w:bottom w:val="none" w:sz="0" w:space="0" w:color="auto"/>
        <w:right w:val="none" w:sz="0" w:space="0" w:color="auto"/>
      </w:divBdr>
    </w:div>
    <w:div w:id="1628731102">
      <w:bodyDiv w:val="1"/>
      <w:marLeft w:val="0"/>
      <w:marRight w:val="0"/>
      <w:marTop w:val="0"/>
      <w:marBottom w:val="0"/>
      <w:divBdr>
        <w:top w:val="none" w:sz="0" w:space="0" w:color="auto"/>
        <w:left w:val="none" w:sz="0" w:space="0" w:color="auto"/>
        <w:bottom w:val="none" w:sz="0" w:space="0" w:color="auto"/>
        <w:right w:val="none" w:sz="0" w:space="0" w:color="auto"/>
      </w:divBdr>
    </w:div>
    <w:div w:id="1637880566">
      <w:bodyDiv w:val="1"/>
      <w:marLeft w:val="0"/>
      <w:marRight w:val="0"/>
      <w:marTop w:val="0"/>
      <w:marBottom w:val="0"/>
      <w:divBdr>
        <w:top w:val="none" w:sz="0" w:space="0" w:color="auto"/>
        <w:left w:val="none" w:sz="0" w:space="0" w:color="auto"/>
        <w:bottom w:val="none" w:sz="0" w:space="0" w:color="auto"/>
        <w:right w:val="none" w:sz="0" w:space="0" w:color="auto"/>
      </w:divBdr>
    </w:div>
    <w:div w:id="1642149064">
      <w:bodyDiv w:val="1"/>
      <w:marLeft w:val="0"/>
      <w:marRight w:val="0"/>
      <w:marTop w:val="0"/>
      <w:marBottom w:val="0"/>
      <w:divBdr>
        <w:top w:val="none" w:sz="0" w:space="0" w:color="auto"/>
        <w:left w:val="none" w:sz="0" w:space="0" w:color="auto"/>
        <w:bottom w:val="none" w:sz="0" w:space="0" w:color="auto"/>
        <w:right w:val="none" w:sz="0" w:space="0" w:color="auto"/>
      </w:divBdr>
    </w:div>
    <w:div w:id="1659260036">
      <w:bodyDiv w:val="1"/>
      <w:marLeft w:val="0"/>
      <w:marRight w:val="0"/>
      <w:marTop w:val="0"/>
      <w:marBottom w:val="0"/>
      <w:divBdr>
        <w:top w:val="none" w:sz="0" w:space="0" w:color="auto"/>
        <w:left w:val="none" w:sz="0" w:space="0" w:color="auto"/>
        <w:bottom w:val="none" w:sz="0" w:space="0" w:color="auto"/>
        <w:right w:val="none" w:sz="0" w:space="0" w:color="auto"/>
      </w:divBdr>
    </w:div>
    <w:div w:id="1660187684">
      <w:bodyDiv w:val="1"/>
      <w:marLeft w:val="0"/>
      <w:marRight w:val="0"/>
      <w:marTop w:val="0"/>
      <w:marBottom w:val="0"/>
      <w:divBdr>
        <w:top w:val="none" w:sz="0" w:space="0" w:color="auto"/>
        <w:left w:val="none" w:sz="0" w:space="0" w:color="auto"/>
        <w:bottom w:val="none" w:sz="0" w:space="0" w:color="auto"/>
        <w:right w:val="none" w:sz="0" w:space="0" w:color="auto"/>
      </w:divBdr>
    </w:div>
    <w:div w:id="1666664222">
      <w:bodyDiv w:val="1"/>
      <w:marLeft w:val="0"/>
      <w:marRight w:val="0"/>
      <w:marTop w:val="0"/>
      <w:marBottom w:val="0"/>
      <w:divBdr>
        <w:top w:val="none" w:sz="0" w:space="0" w:color="auto"/>
        <w:left w:val="none" w:sz="0" w:space="0" w:color="auto"/>
        <w:bottom w:val="none" w:sz="0" w:space="0" w:color="auto"/>
        <w:right w:val="none" w:sz="0" w:space="0" w:color="auto"/>
      </w:divBdr>
    </w:div>
    <w:div w:id="1668483122">
      <w:bodyDiv w:val="1"/>
      <w:marLeft w:val="0"/>
      <w:marRight w:val="0"/>
      <w:marTop w:val="0"/>
      <w:marBottom w:val="0"/>
      <w:divBdr>
        <w:top w:val="none" w:sz="0" w:space="0" w:color="auto"/>
        <w:left w:val="none" w:sz="0" w:space="0" w:color="auto"/>
        <w:bottom w:val="none" w:sz="0" w:space="0" w:color="auto"/>
        <w:right w:val="none" w:sz="0" w:space="0" w:color="auto"/>
      </w:divBdr>
    </w:div>
    <w:div w:id="1683432456">
      <w:bodyDiv w:val="1"/>
      <w:marLeft w:val="0"/>
      <w:marRight w:val="0"/>
      <w:marTop w:val="0"/>
      <w:marBottom w:val="0"/>
      <w:divBdr>
        <w:top w:val="none" w:sz="0" w:space="0" w:color="auto"/>
        <w:left w:val="none" w:sz="0" w:space="0" w:color="auto"/>
        <w:bottom w:val="none" w:sz="0" w:space="0" w:color="auto"/>
        <w:right w:val="none" w:sz="0" w:space="0" w:color="auto"/>
      </w:divBdr>
    </w:div>
    <w:div w:id="1685206432">
      <w:bodyDiv w:val="1"/>
      <w:marLeft w:val="0"/>
      <w:marRight w:val="0"/>
      <w:marTop w:val="0"/>
      <w:marBottom w:val="0"/>
      <w:divBdr>
        <w:top w:val="none" w:sz="0" w:space="0" w:color="auto"/>
        <w:left w:val="none" w:sz="0" w:space="0" w:color="auto"/>
        <w:bottom w:val="none" w:sz="0" w:space="0" w:color="auto"/>
        <w:right w:val="none" w:sz="0" w:space="0" w:color="auto"/>
      </w:divBdr>
    </w:div>
    <w:div w:id="1685667162">
      <w:bodyDiv w:val="1"/>
      <w:marLeft w:val="0"/>
      <w:marRight w:val="0"/>
      <w:marTop w:val="0"/>
      <w:marBottom w:val="0"/>
      <w:divBdr>
        <w:top w:val="none" w:sz="0" w:space="0" w:color="auto"/>
        <w:left w:val="none" w:sz="0" w:space="0" w:color="auto"/>
        <w:bottom w:val="none" w:sz="0" w:space="0" w:color="auto"/>
        <w:right w:val="none" w:sz="0" w:space="0" w:color="auto"/>
      </w:divBdr>
    </w:div>
    <w:div w:id="1690598880">
      <w:bodyDiv w:val="1"/>
      <w:marLeft w:val="0"/>
      <w:marRight w:val="0"/>
      <w:marTop w:val="0"/>
      <w:marBottom w:val="0"/>
      <w:divBdr>
        <w:top w:val="none" w:sz="0" w:space="0" w:color="auto"/>
        <w:left w:val="none" w:sz="0" w:space="0" w:color="auto"/>
        <w:bottom w:val="none" w:sz="0" w:space="0" w:color="auto"/>
        <w:right w:val="none" w:sz="0" w:space="0" w:color="auto"/>
      </w:divBdr>
    </w:div>
    <w:div w:id="1694451854">
      <w:bodyDiv w:val="1"/>
      <w:marLeft w:val="0"/>
      <w:marRight w:val="0"/>
      <w:marTop w:val="0"/>
      <w:marBottom w:val="0"/>
      <w:divBdr>
        <w:top w:val="none" w:sz="0" w:space="0" w:color="auto"/>
        <w:left w:val="none" w:sz="0" w:space="0" w:color="auto"/>
        <w:bottom w:val="none" w:sz="0" w:space="0" w:color="auto"/>
        <w:right w:val="none" w:sz="0" w:space="0" w:color="auto"/>
      </w:divBdr>
    </w:div>
    <w:div w:id="1695424224">
      <w:bodyDiv w:val="1"/>
      <w:marLeft w:val="0"/>
      <w:marRight w:val="0"/>
      <w:marTop w:val="0"/>
      <w:marBottom w:val="0"/>
      <w:divBdr>
        <w:top w:val="none" w:sz="0" w:space="0" w:color="auto"/>
        <w:left w:val="none" w:sz="0" w:space="0" w:color="auto"/>
        <w:bottom w:val="none" w:sz="0" w:space="0" w:color="auto"/>
        <w:right w:val="none" w:sz="0" w:space="0" w:color="auto"/>
      </w:divBdr>
    </w:div>
    <w:div w:id="1696229031">
      <w:bodyDiv w:val="1"/>
      <w:marLeft w:val="0"/>
      <w:marRight w:val="0"/>
      <w:marTop w:val="0"/>
      <w:marBottom w:val="0"/>
      <w:divBdr>
        <w:top w:val="none" w:sz="0" w:space="0" w:color="auto"/>
        <w:left w:val="none" w:sz="0" w:space="0" w:color="auto"/>
        <w:bottom w:val="none" w:sz="0" w:space="0" w:color="auto"/>
        <w:right w:val="none" w:sz="0" w:space="0" w:color="auto"/>
      </w:divBdr>
    </w:div>
    <w:div w:id="1699963035">
      <w:bodyDiv w:val="1"/>
      <w:marLeft w:val="0"/>
      <w:marRight w:val="0"/>
      <w:marTop w:val="0"/>
      <w:marBottom w:val="0"/>
      <w:divBdr>
        <w:top w:val="none" w:sz="0" w:space="0" w:color="auto"/>
        <w:left w:val="none" w:sz="0" w:space="0" w:color="auto"/>
        <w:bottom w:val="none" w:sz="0" w:space="0" w:color="auto"/>
        <w:right w:val="none" w:sz="0" w:space="0" w:color="auto"/>
      </w:divBdr>
    </w:div>
    <w:div w:id="1702127104">
      <w:bodyDiv w:val="1"/>
      <w:marLeft w:val="0"/>
      <w:marRight w:val="0"/>
      <w:marTop w:val="0"/>
      <w:marBottom w:val="0"/>
      <w:divBdr>
        <w:top w:val="none" w:sz="0" w:space="0" w:color="auto"/>
        <w:left w:val="none" w:sz="0" w:space="0" w:color="auto"/>
        <w:bottom w:val="none" w:sz="0" w:space="0" w:color="auto"/>
        <w:right w:val="none" w:sz="0" w:space="0" w:color="auto"/>
      </w:divBdr>
    </w:div>
    <w:div w:id="1706173807">
      <w:bodyDiv w:val="1"/>
      <w:marLeft w:val="0"/>
      <w:marRight w:val="0"/>
      <w:marTop w:val="0"/>
      <w:marBottom w:val="0"/>
      <w:divBdr>
        <w:top w:val="none" w:sz="0" w:space="0" w:color="auto"/>
        <w:left w:val="none" w:sz="0" w:space="0" w:color="auto"/>
        <w:bottom w:val="none" w:sz="0" w:space="0" w:color="auto"/>
        <w:right w:val="none" w:sz="0" w:space="0" w:color="auto"/>
      </w:divBdr>
    </w:div>
    <w:div w:id="1713457970">
      <w:bodyDiv w:val="1"/>
      <w:marLeft w:val="0"/>
      <w:marRight w:val="0"/>
      <w:marTop w:val="0"/>
      <w:marBottom w:val="0"/>
      <w:divBdr>
        <w:top w:val="none" w:sz="0" w:space="0" w:color="auto"/>
        <w:left w:val="none" w:sz="0" w:space="0" w:color="auto"/>
        <w:bottom w:val="none" w:sz="0" w:space="0" w:color="auto"/>
        <w:right w:val="none" w:sz="0" w:space="0" w:color="auto"/>
      </w:divBdr>
    </w:div>
    <w:div w:id="1720279040">
      <w:bodyDiv w:val="1"/>
      <w:marLeft w:val="0"/>
      <w:marRight w:val="0"/>
      <w:marTop w:val="0"/>
      <w:marBottom w:val="0"/>
      <w:divBdr>
        <w:top w:val="none" w:sz="0" w:space="0" w:color="auto"/>
        <w:left w:val="none" w:sz="0" w:space="0" w:color="auto"/>
        <w:bottom w:val="none" w:sz="0" w:space="0" w:color="auto"/>
        <w:right w:val="none" w:sz="0" w:space="0" w:color="auto"/>
      </w:divBdr>
    </w:div>
    <w:div w:id="1729495301">
      <w:bodyDiv w:val="1"/>
      <w:marLeft w:val="0"/>
      <w:marRight w:val="0"/>
      <w:marTop w:val="0"/>
      <w:marBottom w:val="0"/>
      <w:divBdr>
        <w:top w:val="none" w:sz="0" w:space="0" w:color="auto"/>
        <w:left w:val="none" w:sz="0" w:space="0" w:color="auto"/>
        <w:bottom w:val="none" w:sz="0" w:space="0" w:color="auto"/>
        <w:right w:val="none" w:sz="0" w:space="0" w:color="auto"/>
      </w:divBdr>
    </w:div>
    <w:div w:id="1742101080">
      <w:bodyDiv w:val="1"/>
      <w:marLeft w:val="0"/>
      <w:marRight w:val="0"/>
      <w:marTop w:val="0"/>
      <w:marBottom w:val="0"/>
      <w:divBdr>
        <w:top w:val="none" w:sz="0" w:space="0" w:color="auto"/>
        <w:left w:val="none" w:sz="0" w:space="0" w:color="auto"/>
        <w:bottom w:val="none" w:sz="0" w:space="0" w:color="auto"/>
        <w:right w:val="none" w:sz="0" w:space="0" w:color="auto"/>
      </w:divBdr>
    </w:div>
    <w:div w:id="1742873390">
      <w:bodyDiv w:val="1"/>
      <w:marLeft w:val="0"/>
      <w:marRight w:val="0"/>
      <w:marTop w:val="0"/>
      <w:marBottom w:val="0"/>
      <w:divBdr>
        <w:top w:val="none" w:sz="0" w:space="0" w:color="auto"/>
        <w:left w:val="none" w:sz="0" w:space="0" w:color="auto"/>
        <w:bottom w:val="none" w:sz="0" w:space="0" w:color="auto"/>
        <w:right w:val="none" w:sz="0" w:space="0" w:color="auto"/>
      </w:divBdr>
    </w:div>
    <w:div w:id="1745175799">
      <w:bodyDiv w:val="1"/>
      <w:marLeft w:val="0"/>
      <w:marRight w:val="0"/>
      <w:marTop w:val="0"/>
      <w:marBottom w:val="0"/>
      <w:divBdr>
        <w:top w:val="none" w:sz="0" w:space="0" w:color="auto"/>
        <w:left w:val="none" w:sz="0" w:space="0" w:color="auto"/>
        <w:bottom w:val="none" w:sz="0" w:space="0" w:color="auto"/>
        <w:right w:val="none" w:sz="0" w:space="0" w:color="auto"/>
      </w:divBdr>
    </w:div>
    <w:div w:id="1755012189">
      <w:bodyDiv w:val="1"/>
      <w:marLeft w:val="0"/>
      <w:marRight w:val="0"/>
      <w:marTop w:val="0"/>
      <w:marBottom w:val="0"/>
      <w:divBdr>
        <w:top w:val="none" w:sz="0" w:space="0" w:color="auto"/>
        <w:left w:val="none" w:sz="0" w:space="0" w:color="auto"/>
        <w:bottom w:val="none" w:sz="0" w:space="0" w:color="auto"/>
        <w:right w:val="none" w:sz="0" w:space="0" w:color="auto"/>
      </w:divBdr>
    </w:div>
    <w:div w:id="1758019185">
      <w:bodyDiv w:val="1"/>
      <w:marLeft w:val="0"/>
      <w:marRight w:val="0"/>
      <w:marTop w:val="0"/>
      <w:marBottom w:val="0"/>
      <w:divBdr>
        <w:top w:val="none" w:sz="0" w:space="0" w:color="auto"/>
        <w:left w:val="none" w:sz="0" w:space="0" w:color="auto"/>
        <w:bottom w:val="none" w:sz="0" w:space="0" w:color="auto"/>
        <w:right w:val="none" w:sz="0" w:space="0" w:color="auto"/>
      </w:divBdr>
    </w:div>
    <w:div w:id="1760560447">
      <w:bodyDiv w:val="1"/>
      <w:marLeft w:val="0"/>
      <w:marRight w:val="0"/>
      <w:marTop w:val="0"/>
      <w:marBottom w:val="0"/>
      <w:divBdr>
        <w:top w:val="none" w:sz="0" w:space="0" w:color="auto"/>
        <w:left w:val="none" w:sz="0" w:space="0" w:color="auto"/>
        <w:bottom w:val="none" w:sz="0" w:space="0" w:color="auto"/>
        <w:right w:val="none" w:sz="0" w:space="0" w:color="auto"/>
      </w:divBdr>
    </w:div>
    <w:div w:id="1770589023">
      <w:bodyDiv w:val="1"/>
      <w:marLeft w:val="0"/>
      <w:marRight w:val="0"/>
      <w:marTop w:val="0"/>
      <w:marBottom w:val="0"/>
      <w:divBdr>
        <w:top w:val="none" w:sz="0" w:space="0" w:color="auto"/>
        <w:left w:val="none" w:sz="0" w:space="0" w:color="auto"/>
        <w:bottom w:val="none" w:sz="0" w:space="0" w:color="auto"/>
        <w:right w:val="none" w:sz="0" w:space="0" w:color="auto"/>
      </w:divBdr>
    </w:div>
    <w:div w:id="1774200683">
      <w:bodyDiv w:val="1"/>
      <w:marLeft w:val="0"/>
      <w:marRight w:val="0"/>
      <w:marTop w:val="0"/>
      <w:marBottom w:val="0"/>
      <w:divBdr>
        <w:top w:val="none" w:sz="0" w:space="0" w:color="auto"/>
        <w:left w:val="none" w:sz="0" w:space="0" w:color="auto"/>
        <w:bottom w:val="none" w:sz="0" w:space="0" w:color="auto"/>
        <w:right w:val="none" w:sz="0" w:space="0" w:color="auto"/>
      </w:divBdr>
    </w:div>
    <w:div w:id="1791705256">
      <w:bodyDiv w:val="1"/>
      <w:marLeft w:val="0"/>
      <w:marRight w:val="0"/>
      <w:marTop w:val="0"/>
      <w:marBottom w:val="0"/>
      <w:divBdr>
        <w:top w:val="none" w:sz="0" w:space="0" w:color="auto"/>
        <w:left w:val="none" w:sz="0" w:space="0" w:color="auto"/>
        <w:bottom w:val="none" w:sz="0" w:space="0" w:color="auto"/>
        <w:right w:val="none" w:sz="0" w:space="0" w:color="auto"/>
      </w:divBdr>
      <w:divsChild>
        <w:div w:id="413236359">
          <w:marLeft w:val="0"/>
          <w:marRight w:val="0"/>
          <w:marTop w:val="0"/>
          <w:marBottom w:val="0"/>
          <w:divBdr>
            <w:top w:val="none" w:sz="0" w:space="0" w:color="auto"/>
            <w:left w:val="none" w:sz="0" w:space="0" w:color="auto"/>
            <w:bottom w:val="none" w:sz="0" w:space="0" w:color="auto"/>
            <w:right w:val="none" w:sz="0" w:space="0" w:color="auto"/>
          </w:divBdr>
          <w:divsChild>
            <w:div w:id="1142311948">
              <w:marLeft w:val="0"/>
              <w:marRight w:val="0"/>
              <w:marTop w:val="0"/>
              <w:marBottom w:val="0"/>
              <w:divBdr>
                <w:top w:val="none" w:sz="0" w:space="0" w:color="auto"/>
                <w:left w:val="none" w:sz="0" w:space="0" w:color="auto"/>
                <w:bottom w:val="none" w:sz="0" w:space="0" w:color="auto"/>
                <w:right w:val="none" w:sz="0" w:space="0" w:color="auto"/>
              </w:divBdr>
              <w:divsChild>
                <w:div w:id="16784104">
                  <w:marLeft w:val="0"/>
                  <w:marRight w:val="0"/>
                  <w:marTop w:val="0"/>
                  <w:marBottom w:val="0"/>
                  <w:divBdr>
                    <w:top w:val="none" w:sz="0" w:space="0" w:color="auto"/>
                    <w:left w:val="none" w:sz="0" w:space="0" w:color="auto"/>
                    <w:bottom w:val="none" w:sz="0" w:space="0" w:color="auto"/>
                    <w:right w:val="none" w:sz="0" w:space="0" w:color="auto"/>
                  </w:divBdr>
                  <w:divsChild>
                    <w:div w:id="1040014532">
                      <w:marLeft w:val="0"/>
                      <w:marRight w:val="0"/>
                      <w:marTop w:val="0"/>
                      <w:marBottom w:val="0"/>
                      <w:divBdr>
                        <w:top w:val="none" w:sz="0" w:space="0" w:color="auto"/>
                        <w:left w:val="none" w:sz="0" w:space="0" w:color="auto"/>
                        <w:bottom w:val="none" w:sz="0" w:space="0" w:color="auto"/>
                        <w:right w:val="none" w:sz="0" w:space="0" w:color="auto"/>
                      </w:divBdr>
                      <w:divsChild>
                        <w:div w:id="9236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0807">
          <w:marLeft w:val="0"/>
          <w:marRight w:val="0"/>
          <w:marTop w:val="0"/>
          <w:marBottom w:val="0"/>
          <w:divBdr>
            <w:top w:val="none" w:sz="0" w:space="0" w:color="auto"/>
            <w:left w:val="none" w:sz="0" w:space="0" w:color="auto"/>
            <w:bottom w:val="none" w:sz="0" w:space="0" w:color="auto"/>
            <w:right w:val="none" w:sz="0" w:space="0" w:color="auto"/>
          </w:divBdr>
        </w:div>
      </w:divsChild>
    </w:div>
    <w:div w:id="1797484629">
      <w:bodyDiv w:val="1"/>
      <w:marLeft w:val="0"/>
      <w:marRight w:val="0"/>
      <w:marTop w:val="0"/>
      <w:marBottom w:val="0"/>
      <w:divBdr>
        <w:top w:val="none" w:sz="0" w:space="0" w:color="auto"/>
        <w:left w:val="none" w:sz="0" w:space="0" w:color="auto"/>
        <w:bottom w:val="none" w:sz="0" w:space="0" w:color="auto"/>
        <w:right w:val="none" w:sz="0" w:space="0" w:color="auto"/>
      </w:divBdr>
    </w:div>
    <w:div w:id="1800764449">
      <w:bodyDiv w:val="1"/>
      <w:marLeft w:val="0"/>
      <w:marRight w:val="0"/>
      <w:marTop w:val="0"/>
      <w:marBottom w:val="0"/>
      <w:divBdr>
        <w:top w:val="none" w:sz="0" w:space="0" w:color="auto"/>
        <w:left w:val="none" w:sz="0" w:space="0" w:color="auto"/>
        <w:bottom w:val="none" w:sz="0" w:space="0" w:color="auto"/>
        <w:right w:val="none" w:sz="0" w:space="0" w:color="auto"/>
      </w:divBdr>
    </w:div>
    <w:div w:id="1805002129">
      <w:bodyDiv w:val="1"/>
      <w:marLeft w:val="0"/>
      <w:marRight w:val="0"/>
      <w:marTop w:val="0"/>
      <w:marBottom w:val="0"/>
      <w:divBdr>
        <w:top w:val="none" w:sz="0" w:space="0" w:color="auto"/>
        <w:left w:val="none" w:sz="0" w:space="0" w:color="auto"/>
        <w:bottom w:val="none" w:sz="0" w:space="0" w:color="auto"/>
        <w:right w:val="none" w:sz="0" w:space="0" w:color="auto"/>
      </w:divBdr>
    </w:div>
    <w:div w:id="1806191347">
      <w:bodyDiv w:val="1"/>
      <w:marLeft w:val="0"/>
      <w:marRight w:val="0"/>
      <w:marTop w:val="0"/>
      <w:marBottom w:val="0"/>
      <w:divBdr>
        <w:top w:val="none" w:sz="0" w:space="0" w:color="auto"/>
        <w:left w:val="none" w:sz="0" w:space="0" w:color="auto"/>
        <w:bottom w:val="none" w:sz="0" w:space="0" w:color="auto"/>
        <w:right w:val="none" w:sz="0" w:space="0" w:color="auto"/>
      </w:divBdr>
    </w:div>
    <w:div w:id="1819180936">
      <w:bodyDiv w:val="1"/>
      <w:marLeft w:val="0"/>
      <w:marRight w:val="0"/>
      <w:marTop w:val="0"/>
      <w:marBottom w:val="0"/>
      <w:divBdr>
        <w:top w:val="none" w:sz="0" w:space="0" w:color="auto"/>
        <w:left w:val="none" w:sz="0" w:space="0" w:color="auto"/>
        <w:bottom w:val="none" w:sz="0" w:space="0" w:color="auto"/>
        <w:right w:val="none" w:sz="0" w:space="0" w:color="auto"/>
      </w:divBdr>
    </w:div>
    <w:div w:id="1820919275">
      <w:bodyDiv w:val="1"/>
      <w:marLeft w:val="0"/>
      <w:marRight w:val="0"/>
      <w:marTop w:val="0"/>
      <w:marBottom w:val="0"/>
      <w:divBdr>
        <w:top w:val="none" w:sz="0" w:space="0" w:color="auto"/>
        <w:left w:val="none" w:sz="0" w:space="0" w:color="auto"/>
        <w:bottom w:val="none" w:sz="0" w:space="0" w:color="auto"/>
        <w:right w:val="none" w:sz="0" w:space="0" w:color="auto"/>
      </w:divBdr>
    </w:div>
    <w:div w:id="1827092899">
      <w:bodyDiv w:val="1"/>
      <w:marLeft w:val="0"/>
      <w:marRight w:val="0"/>
      <w:marTop w:val="0"/>
      <w:marBottom w:val="0"/>
      <w:divBdr>
        <w:top w:val="none" w:sz="0" w:space="0" w:color="auto"/>
        <w:left w:val="none" w:sz="0" w:space="0" w:color="auto"/>
        <w:bottom w:val="none" w:sz="0" w:space="0" w:color="auto"/>
        <w:right w:val="none" w:sz="0" w:space="0" w:color="auto"/>
      </w:divBdr>
    </w:div>
    <w:div w:id="1830905545">
      <w:bodyDiv w:val="1"/>
      <w:marLeft w:val="0"/>
      <w:marRight w:val="0"/>
      <w:marTop w:val="0"/>
      <w:marBottom w:val="0"/>
      <w:divBdr>
        <w:top w:val="none" w:sz="0" w:space="0" w:color="auto"/>
        <w:left w:val="none" w:sz="0" w:space="0" w:color="auto"/>
        <w:bottom w:val="none" w:sz="0" w:space="0" w:color="auto"/>
        <w:right w:val="none" w:sz="0" w:space="0" w:color="auto"/>
      </w:divBdr>
    </w:div>
    <w:div w:id="1831365010">
      <w:bodyDiv w:val="1"/>
      <w:marLeft w:val="0"/>
      <w:marRight w:val="0"/>
      <w:marTop w:val="0"/>
      <w:marBottom w:val="0"/>
      <w:divBdr>
        <w:top w:val="none" w:sz="0" w:space="0" w:color="auto"/>
        <w:left w:val="none" w:sz="0" w:space="0" w:color="auto"/>
        <w:bottom w:val="none" w:sz="0" w:space="0" w:color="auto"/>
        <w:right w:val="none" w:sz="0" w:space="0" w:color="auto"/>
      </w:divBdr>
    </w:div>
    <w:div w:id="1840803873">
      <w:bodyDiv w:val="1"/>
      <w:marLeft w:val="0"/>
      <w:marRight w:val="0"/>
      <w:marTop w:val="0"/>
      <w:marBottom w:val="0"/>
      <w:divBdr>
        <w:top w:val="none" w:sz="0" w:space="0" w:color="auto"/>
        <w:left w:val="none" w:sz="0" w:space="0" w:color="auto"/>
        <w:bottom w:val="none" w:sz="0" w:space="0" w:color="auto"/>
        <w:right w:val="none" w:sz="0" w:space="0" w:color="auto"/>
      </w:divBdr>
    </w:div>
    <w:div w:id="1845902681">
      <w:bodyDiv w:val="1"/>
      <w:marLeft w:val="0"/>
      <w:marRight w:val="0"/>
      <w:marTop w:val="0"/>
      <w:marBottom w:val="0"/>
      <w:divBdr>
        <w:top w:val="none" w:sz="0" w:space="0" w:color="auto"/>
        <w:left w:val="none" w:sz="0" w:space="0" w:color="auto"/>
        <w:bottom w:val="none" w:sz="0" w:space="0" w:color="auto"/>
        <w:right w:val="none" w:sz="0" w:space="0" w:color="auto"/>
      </w:divBdr>
    </w:div>
    <w:div w:id="1855728117">
      <w:bodyDiv w:val="1"/>
      <w:marLeft w:val="0"/>
      <w:marRight w:val="0"/>
      <w:marTop w:val="0"/>
      <w:marBottom w:val="0"/>
      <w:divBdr>
        <w:top w:val="none" w:sz="0" w:space="0" w:color="auto"/>
        <w:left w:val="none" w:sz="0" w:space="0" w:color="auto"/>
        <w:bottom w:val="none" w:sz="0" w:space="0" w:color="auto"/>
        <w:right w:val="none" w:sz="0" w:space="0" w:color="auto"/>
      </w:divBdr>
    </w:div>
    <w:div w:id="1879539470">
      <w:bodyDiv w:val="1"/>
      <w:marLeft w:val="0"/>
      <w:marRight w:val="0"/>
      <w:marTop w:val="0"/>
      <w:marBottom w:val="0"/>
      <w:divBdr>
        <w:top w:val="none" w:sz="0" w:space="0" w:color="auto"/>
        <w:left w:val="none" w:sz="0" w:space="0" w:color="auto"/>
        <w:bottom w:val="none" w:sz="0" w:space="0" w:color="auto"/>
        <w:right w:val="none" w:sz="0" w:space="0" w:color="auto"/>
      </w:divBdr>
    </w:div>
    <w:div w:id="1882550134">
      <w:bodyDiv w:val="1"/>
      <w:marLeft w:val="0"/>
      <w:marRight w:val="0"/>
      <w:marTop w:val="0"/>
      <w:marBottom w:val="0"/>
      <w:divBdr>
        <w:top w:val="none" w:sz="0" w:space="0" w:color="auto"/>
        <w:left w:val="none" w:sz="0" w:space="0" w:color="auto"/>
        <w:bottom w:val="none" w:sz="0" w:space="0" w:color="auto"/>
        <w:right w:val="none" w:sz="0" w:space="0" w:color="auto"/>
      </w:divBdr>
    </w:div>
    <w:div w:id="1891653608">
      <w:bodyDiv w:val="1"/>
      <w:marLeft w:val="0"/>
      <w:marRight w:val="0"/>
      <w:marTop w:val="0"/>
      <w:marBottom w:val="0"/>
      <w:divBdr>
        <w:top w:val="none" w:sz="0" w:space="0" w:color="auto"/>
        <w:left w:val="none" w:sz="0" w:space="0" w:color="auto"/>
        <w:bottom w:val="none" w:sz="0" w:space="0" w:color="auto"/>
        <w:right w:val="none" w:sz="0" w:space="0" w:color="auto"/>
      </w:divBdr>
    </w:div>
    <w:div w:id="1894075090">
      <w:bodyDiv w:val="1"/>
      <w:marLeft w:val="0"/>
      <w:marRight w:val="0"/>
      <w:marTop w:val="0"/>
      <w:marBottom w:val="0"/>
      <w:divBdr>
        <w:top w:val="none" w:sz="0" w:space="0" w:color="auto"/>
        <w:left w:val="none" w:sz="0" w:space="0" w:color="auto"/>
        <w:bottom w:val="none" w:sz="0" w:space="0" w:color="auto"/>
        <w:right w:val="none" w:sz="0" w:space="0" w:color="auto"/>
      </w:divBdr>
    </w:div>
    <w:div w:id="1925216398">
      <w:bodyDiv w:val="1"/>
      <w:marLeft w:val="0"/>
      <w:marRight w:val="0"/>
      <w:marTop w:val="0"/>
      <w:marBottom w:val="0"/>
      <w:divBdr>
        <w:top w:val="none" w:sz="0" w:space="0" w:color="auto"/>
        <w:left w:val="none" w:sz="0" w:space="0" w:color="auto"/>
        <w:bottom w:val="none" w:sz="0" w:space="0" w:color="auto"/>
        <w:right w:val="none" w:sz="0" w:space="0" w:color="auto"/>
      </w:divBdr>
    </w:div>
    <w:div w:id="1937441654">
      <w:bodyDiv w:val="1"/>
      <w:marLeft w:val="0"/>
      <w:marRight w:val="0"/>
      <w:marTop w:val="0"/>
      <w:marBottom w:val="0"/>
      <w:divBdr>
        <w:top w:val="none" w:sz="0" w:space="0" w:color="auto"/>
        <w:left w:val="none" w:sz="0" w:space="0" w:color="auto"/>
        <w:bottom w:val="none" w:sz="0" w:space="0" w:color="auto"/>
        <w:right w:val="none" w:sz="0" w:space="0" w:color="auto"/>
      </w:divBdr>
    </w:div>
    <w:div w:id="1943023931">
      <w:bodyDiv w:val="1"/>
      <w:marLeft w:val="0"/>
      <w:marRight w:val="0"/>
      <w:marTop w:val="0"/>
      <w:marBottom w:val="0"/>
      <w:divBdr>
        <w:top w:val="none" w:sz="0" w:space="0" w:color="auto"/>
        <w:left w:val="none" w:sz="0" w:space="0" w:color="auto"/>
        <w:bottom w:val="none" w:sz="0" w:space="0" w:color="auto"/>
        <w:right w:val="none" w:sz="0" w:space="0" w:color="auto"/>
      </w:divBdr>
    </w:div>
    <w:div w:id="1946497910">
      <w:bodyDiv w:val="1"/>
      <w:marLeft w:val="0"/>
      <w:marRight w:val="0"/>
      <w:marTop w:val="0"/>
      <w:marBottom w:val="0"/>
      <w:divBdr>
        <w:top w:val="none" w:sz="0" w:space="0" w:color="auto"/>
        <w:left w:val="none" w:sz="0" w:space="0" w:color="auto"/>
        <w:bottom w:val="none" w:sz="0" w:space="0" w:color="auto"/>
        <w:right w:val="none" w:sz="0" w:space="0" w:color="auto"/>
      </w:divBdr>
    </w:div>
    <w:div w:id="1952516428">
      <w:bodyDiv w:val="1"/>
      <w:marLeft w:val="0"/>
      <w:marRight w:val="0"/>
      <w:marTop w:val="0"/>
      <w:marBottom w:val="0"/>
      <w:divBdr>
        <w:top w:val="none" w:sz="0" w:space="0" w:color="auto"/>
        <w:left w:val="none" w:sz="0" w:space="0" w:color="auto"/>
        <w:bottom w:val="none" w:sz="0" w:space="0" w:color="auto"/>
        <w:right w:val="none" w:sz="0" w:space="0" w:color="auto"/>
      </w:divBdr>
    </w:div>
    <w:div w:id="1953824999">
      <w:bodyDiv w:val="1"/>
      <w:marLeft w:val="0"/>
      <w:marRight w:val="0"/>
      <w:marTop w:val="0"/>
      <w:marBottom w:val="0"/>
      <w:divBdr>
        <w:top w:val="none" w:sz="0" w:space="0" w:color="auto"/>
        <w:left w:val="none" w:sz="0" w:space="0" w:color="auto"/>
        <w:bottom w:val="none" w:sz="0" w:space="0" w:color="auto"/>
        <w:right w:val="none" w:sz="0" w:space="0" w:color="auto"/>
      </w:divBdr>
    </w:div>
    <w:div w:id="1957061776">
      <w:bodyDiv w:val="1"/>
      <w:marLeft w:val="0"/>
      <w:marRight w:val="0"/>
      <w:marTop w:val="0"/>
      <w:marBottom w:val="0"/>
      <w:divBdr>
        <w:top w:val="none" w:sz="0" w:space="0" w:color="auto"/>
        <w:left w:val="none" w:sz="0" w:space="0" w:color="auto"/>
        <w:bottom w:val="none" w:sz="0" w:space="0" w:color="auto"/>
        <w:right w:val="none" w:sz="0" w:space="0" w:color="auto"/>
      </w:divBdr>
    </w:div>
    <w:div w:id="1962957620">
      <w:bodyDiv w:val="1"/>
      <w:marLeft w:val="0"/>
      <w:marRight w:val="0"/>
      <w:marTop w:val="0"/>
      <w:marBottom w:val="0"/>
      <w:divBdr>
        <w:top w:val="none" w:sz="0" w:space="0" w:color="auto"/>
        <w:left w:val="none" w:sz="0" w:space="0" w:color="auto"/>
        <w:bottom w:val="none" w:sz="0" w:space="0" w:color="auto"/>
        <w:right w:val="none" w:sz="0" w:space="0" w:color="auto"/>
      </w:divBdr>
    </w:div>
    <w:div w:id="1964146678">
      <w:bodyDiv w:val="1"/>
      <w:marLeft w:val="0"/>
      <w:marRight w:val="0"/>
      <w:marTop w:val="0"/>
      <w:marBottom w:val="0"/>
      <w:divBdr>
        <w:top w:val="none" w:sz="0" w:space="0" w:color="auto"/>
        <w:left w:val="none" w:sz="0" w:space="0" w:color="auto"/>
        <w:bottom w:val="none" w:sz="0" w:space="0" w:color="auto"/>
        <w:right w:val="none" w:sz="0" w:space="0" w:color="auto"/>
      </w:divBdr>
    </w:div>
    <w:div w:id="1965309000">
      <w:bodyDiv w:val="1"/>
      <w:marLeft w:val="0"/>
      <w:marRight w:val="0"/>
      <w:marTop w:val="0"/>
      <w:marBottom w:val="0"/>
      <w:divBdr>
        <w:top w:val="none" w:sz="0" w:space="0" w:color="auto"/>
        <w:left w:val="none" w:sz="0" w:space="0" w:color="auto"/>
        <w:bottom w:val="none" w:sz="0" w:space="0" w:color="auto"/>
        <w:right w:val="none" w:sz="0" w:space="0" w:color="auto"/>
      </w:divBdr>
    </w:div>
    <w:div w:id="1965381649">
      <w:bodyDiv w:val="1"/>
      <w:marLeft w:val="0"/>
      <w:marRight w:val="0"/>
      <w:marTop w:val="0"/>
      <w:marBottom w:val="0"/>
      <w:divBdr>
        <w:top w:val="none" w:sz="0" w:space="0" w:color="auto"/>
        <w:left w:val="none" w:sz="0" w:space="0" w:color="auto"/>
        <w:bottom w:val="none" w:sz="0" w:space="0" w:color="auto"/>
        <w:right w:val="none" w:sz="0" w:space="0" w:color="auto"/>
      </w:divBdr>
    </w:div>
    <w:div w:id="1969822812">
      <w:bodyDiv w:val="1"/>
      <w:marLeft w:val="0"/>
      <w:marRight w:val="0"/>
      <w:marTop w:val="0"/>
      <w:marBottom w:val="0"/>
      <w:divBdr>
        <w:top w:val="none" w:sz="0" w:space="0" w:color="auto"/>
        <w:left w:val="none" w:sz="0" w:space="0" w:color="auto"/>
        <w:bottom w:val="none" w:sz="0" w:space="0" w:color="auto"/>
        <w:right w:val="none" w:sz="0" w:space="0" w:color="auto"/>
      </w:divBdr>
    </w:div>
    <w:div w:id="1974024254">
      <w:bodyDiv w:val="1"/>
      <w:marLeft w:val="0"/>
      <w:marRight w:val="0"/>
      <w:marTop w:val="0"/>
      <w:marBottom w:val="0"/>
      <w:divBdr>
        <w:top w:val="none" w:sz="0" w:space="0" w:color="auto"/>
        <w:left w:val="none" w:sz="0" w:space="0" w:color="auto"/>
        <w:bottom w:val="none" w:sz="0" w:space="0" w:color="auto"/>
        <w:right w:val="none" w:sz="0" w:space="0" w:color="auto"/>
      </w:divBdr>
    </w:div>
    <w:div w:id="1974096936">
      <w:bodyDiv w:val="1"/>
      <w:marLeft w:val="0"/>
      <w:marRight w:val="0"/>
      <w:marTop w:val="0"/>
      <w:marBottom w:val="0"/>
      <w:divBdr>
        <w:top w:val="none" w:sz="0" w:space="0" w:color="auto"/>
        <w:left w:val="none" w:sz="0" w:space="0" w:color="auto"/>
        <w:bottom w:val="none" w:sz="0" w:space="0" w:color="auto"/>
        <w:right w:val="none" w:sz="0" w:space="0" w:color="auto"/>
      </w:divBdr>
    </w:div>
    <w:div w:id="1980912247">
      <w:bodyDiv w:val="1"/>
      <w:marLeft w:val="0"/>
      <w:marRight w:val="0"/>
      <w:marTop w:val="0"/>
      <w:marBottom w:val="0"/>
      <w:divBdr>
        <w:top w:val="none" w:sz="0" w:space="0" w:color="auto"/>
        <w:left w:val="none" w:sz="0" w:space="0" w:color="auto"/>
        <w:bottom w:val="none" w:sz="0" w:space="0" w:color="auto"/>
        <w:right w:val="none" w:sz="0" w:space="0" w:color="auto"/>
      </w:divBdr>
    </w:div>
    <w:div w:id="1994481192">
      <w:bodyDiv w:val="1"/>
      <w:marLeft w:val="0"/>
      <w:marRight w:val="0"/>
      <w:marTop w:val="0"/>
      <w:marBottom w:val="0"/>
      <w:divBdr>
        <w:top w:val="none" w:sz="0" w:space="0" w:color="auto"/>
        <w:left w:val="none" w:sz="0" w:space="0" w:color="auto"/>
        <w:bottom w:val="none" w:sz="0" w:space="0" w:color="auto"/>
        <w:right w:val="none" w:sz="0" w:space="0" w:color="auto"/>
      </w:divBdr>
    </w:div>
    <w:div w:id="2008165900">
      <w:bodyDiv w:val="1"/>
      <w:marLeft w:val="0"/>
      <w:marRight w:val="0"/>
      <w:marTop w:val="0"/>
      <w:marBottom w:val="0"/>
      <w:divBdr>
        <w:top w:val="none" w:sz="0" w:space="0" w:color="auto"/>
        <w:left w:val="none" w:sz="0" w:space="0" w:color="auto"/>
        <w:bottom w:val="none" w:sz="0" w:space="0" w:color="auto"/>
        <w:right w:val="none" w:sz="0" w:space="0" w:color="auto"/>
      </w:divBdr>
    </w:div>
    <w:div w:id="2009748918">
      <w:bodyDiv w:val="1"/>
      <w:marLeft w:val="0"/>
      <w:marRight w:val="0"/>
      <w:marTop w:val="0"/>
      <w:marBottom w:val="0"/>
      <w:divBdr>
        <w:top w:val="none" w:sz="0" w:space="0" w:color="auto"/>
        <w:left w:val="none" w:sz="0" w:space="0" w:color="auto"/>
        <w:bottom w:val="none" w:sz="0" w:space="0" w:color="auto"/>
        <w:right w:val="none" w:sz="0" w:space="0" w:color="auto"/>
      </w:divBdr>
    </w:div>
    <w:div w:id="2009822904">
      <w:bodyDiv w:val="1"/>
      <w:marLeft w:val="0"/>
      <w:marRight w:val="0"/>
      <w:marTop w:val="0"/>
      <w:marBottom w:val="0"/>
      <w:divBdr>
        <w:top w:val="none" w:sz="0" w:space="0" w:color="auto"/>
        <w:left w:val="none" w:sz="0" w:space="0" w:color="auto"/>
        <w:bottom w:val="none" w:sz="0" w:space="0" w:color="auto"/>
        <w:right w:val="none" w:sz="0" w:space="0" w:color="auto"/>
      </w:divBdr>
    </w:div>
    <w:div w:id="2014411945">
      <w:bodyDiv w:val="1"/>
      <w:marLeft w:val="0"/>
      <w:marRight w:val="0"/>
      <w:marTop w:val="0"/>
      <w:marBottom w:val="0"/>
      <w:divBdr>
        <w:top w:val="none" w:sz="0" w:space="0" w:color="auto"/>
        <w:left w:val="none" w:sz="0" w:space="0" w:color="auto"/>
        <w:bottom w:val="none" w:sz="0" w:space="0" w:color="auto"/>
        <w:right w:val="none" w:sz="0" w:space="0" w:color="auto"/>
      </w:divBdr>
    </w:div>
    <w:div w:id="2017221115">
      <w:bodyDiv w:val="1"/>
      <w:marLeft w:val="0"/>
      <w:marRight w:val="0"/>
      <w:marTop w:val="0"/>
      <w:marBottom w:val="0"/>
      <w:divBdr>
        <w:top w:val="none" w:sz="0" w:space="0" w:color="auto"/>
        <w:left w:val="none" w:sz="0" w:space="0" w:color="auto"/>
        <w:bottom w:val="none" w:sz="0" w:space="0" w:color="auto"/>
        <w:right w:val="none" w:sz="0" w:space="0" w:color="auto"/>
      </w:divBdr>
    </w:div>
    <w:div w:id="2018998068">
      <w:bodyDiv w:val="1"/>
      <w:marLeft w:val="0"/>
      <w:marRight w:val="0"/>
      <w:marTop w:val="0"/>
      <w:marBottom w:val="0"/>
      <w:divBdr>
        <w:top w:val="none" w:sz="0" w:space="0" w:color="auto"/>
        <w:left w:val="none" w:sz="0" w:space="0" w:color="auto"/>
        <w:bottom w:val="none" w:sz="0" w:space="0" w:color="auto"/>
        <w:right w:val="none" w:sz="0" w:space="0" w:color="auto"/>
      </w:divBdr>
    </w:div>
    <w:div w:id="2019116548">
      <w:bodyDiv w:val="1"/>
      <w:marLeft w:val="0"/>
      <w:marRight w:val="0"/>
      <w:marTop w:val="0"/>
      <w:marBottom w:val="0"/>
      <w:divBdr>
        <w:top w:val="none" w:sz="0" w:space="0" w:color="auto"/>
        <w:left w:val="none" w:sz="0" w:space="0" w:color="auto"/>
        <w:bottom w:val="none" w:sz="0" w:space="0" w:color="auto"/>
        <w:right w:val="none" w:sz="0" w:space="0" w:color="auto"/>
      </w:divBdr>
    </w:div>
    <w:div w:id="2023126479">
      <w:bodyDiv w:val="1"/>
      <w:marLeft w:val="0"/>
      <w:marRight w:val="0"/>
      <w:marTop w:val="0"/>
      <w:marBottom w:val="0"/>
      <w:divBdr>
        <w:top w:val="none" w:sz="0" w:space="0" w:color="auto"/>
        <w:left w:val="none" w:sz="0" w:space="0" w:color="auto"/>
        <w:bottom w:val="none" w:sz="0" w:space="0" w:color="auto"/>
        <w:right w:val="none" w:sz="0" w:space="0" w:color="auto"/>
      </w:divBdr>
      <w:divsChild>
        <w:div w:id="572468287">
          <w:marLeft w:val="0"/>
          <w:marRight w:val="0"/>
          <w:marTop w:val="0"/>
          <w:marBottom w:val="0"/>
          <w:divBdr>
            <w:top w:val="none" w:sz="0" w:space="0" w:color="auto"/>
            <w:left w:val="none" w:sz="0" w:space="0" w:color="auto"/>
            <w:bottom w:val="none" w:sz="0" w:space="0" w:color="auto"/>
            <w:right w:val="none" w:sz="0" w:space="0" w:color="auto"/>
          </w:divBdr>
          <w:divsChild>
            <w:div w:id="1137647732">
              <w:marLeft w:val="0"/>
              <w:marRight w:val="0"/>
              <w:marTop w:val="0"/>
              <w:marBottom w:val="0"/>
              <w:divBdr>
                <w:top w:val="none" w:sz="0" w:space="0" w:color="auto"/>
                <w:left w:val="none" w:sz="0" w:space="0" w:color="auto"/>
                <w:bottom w:val="none" w:sz="0" w:space="0" w:color="auto"/>
                <w:right w:val="none" w:sz="0" w:space="0" w:color="auto"/>
              </w:divBdr>
              <w:divsChild>
                <w:div w:id="1214583204">
                  <w:marLeft w:val="0"/>
                  <w:marRight w:val="0"/>
                  <w:marTop w:val="0"/>
                  <w:marBottom w:val="0"/>
                  <w:divBdr>
                    <w:top w:val="none" w:sz="0" w:space="0" w:color="auto"/>
                    <w:left w:val="none" w:sz="0" w:space="0" w:color="auto"/>
                    <w:bottom w:val="none" w:sz="0" w:space="0" w:color="auto"/>
                    <w:right w:val="none" w:sz="0" w:space="0" w:color="auto"/>
                  </w:divBdr>
                  <w:divsChild>
                    <w:div w:id="2042703260">
                      <w:marLeft w:val="0"/>
                      <w:marRight w:val="0"/>
                      <w:marTop w:val="0"/>
                      <w:marBottom w:val="0"/>
                      <w:divBdr>
                        <w:top w:val="none" w:sz="0" w:space="0" w:color="auto"/>
                        <w:left w:val="none" w:sz="0" w:space="0" w:color="auto"/>
                        <w:bottom w:val="none" w:sz="0" w:space="0" w:color="auto"/>
                        <w:right w:val="none" w:sz="0" w:space="0" w:color="auto"/>
                      </w:divBdr>
                      <w:divsChild>
                        <w:div w:id="20429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422314">
          <w:marLeft w:val="0"/>
          <w:marRight w:val="0"/>
          <w:marTop w:val="0"/>
          <w:marBottom w:val="0"/>
          <w:divBdr>
            <w:top w:val="none" w:sz="0" w:space="0" w:color="auto"/>
            <w:left w:val="none" w:sz="0" w:space="0" w:color="auto"/>
            <w:bottom w:val="none" w:sz="0" w:space="0" w:color="auto"/>
            <w:right w:val="none" w:sz="0" w:space="0" w:color="auto"/>
          </w:divBdr>
        </w:div>
      </w:divsChild>
    </w:div>
    <w:div w:id="2030372307">
      <w:bodyDiv w:val="1"/>
      <w:marLeft w:val="0"/>
      <w:marRight w:val="0"/>
      <w:marTop w:val="0"/>
      <w:marBottom w:val="0"/>
      <w:divBdr>
        <w:top w:val="none" w:sz="0" w:space="0" w:color="auto"/>
        <w:left w:val="none" w:sz="0" w:space="0" w:color="auto"/>
        <w:bottom w:val="none" w:sz="0" w:space="0" w:color="auto"/>
        <w:right w:val="none" w:sz="0" w:space="0" w:color="auto"/>
      </w:divBdr>
    </w:div>
    <w:div w:id="2037386472">
      <w:bodyDiv w:val="1"/>
      <w:marLeft w:val="0"/>
      <w:marRight w:val="0"/>
      <w:marTop w:val="0"/>
      <w:marBottom w:val="0"/>
      <w:divBdr>
        <w:top w:val="none" w:sz="0" w:space="0" w:color="auto"/>
        <w:left w:val="none" w:sz="0" w:space="0" w:color="auto"/>
        <w:bottom w:val="none" w:sz="0" w:space="0" w:color="auto"/>
        <w:right w:val="none" w:sz="0" w:space="0" w:color="auto"/>
      </w:divBdr>
    </w:div>
    <w:div w:id="2047825716">
      <w:bodyDiv w:val="1"/>
      <w:marLeft w:val="0"/>
      <w:marRight w:val="0"/>
      <w:marTop w:val="0"/>
      <w:marBottom w:val="0"/>
      <w:divBdr>
        <w:top w:val="none" w:sz="0" w:space="0" w:color="auto"/>
        <w:left w:val="none" w:sz="0" w:space="0" w:color="auto"/>
        <w:bottom w:val="none" w:sz="0" w:space="0" w:color="auto"/>
        <w:right w:val="none" w:sz="0" w:space="0" w:color="auto"/>
      </w:divBdr>
    </w:div>
    <w:div w:id="2056343326">
      <w:bodyDiv w:val="1"/>
      <w:marLeft w:val="0"/>
      <w:marRight w:val="0"/>
      <w:marTop w:val="0"/>
      <w:marBottom w:val="0"/>
      <w:divBdr>
        <w:top w:val="none" w:sz="0" w:space="0" w:color="auto"/>
        <w:left w:val="none" w:sz="0" w:space="0" w:color="auto"/>
        <w:bottom w:val="none" w:sz="0" w:space="0" w:color="auto"/>
        <w:right w:val="none" w:sz="0" w:space="0" w:color="auto"/>
      </w:divBdr>
    </w:div>
    <w:div w:id="2062513355">
      <w:bodyDiv w:val="1"/>
      <w:marLeft w:val="0"/>
      <w:marRight w:val="0"/>
      <w:marTop w:val="0"/>
      <w:marBottom w:val="0"/>
      <w:divBdr>
        <w:top w:val="none" w:sz="0" w:space="0" w:color="auto"/>
        <w:left w:val="none" w:sz="0" w:space="0" w:color="auto"/>
        <w:bottom w:val="none" w:sz="0" w:space="0" w:color="auto"/>
        <w:right w:val="none" w:sz="0" w:space="0" w:color="auto"/>
      </w:divBdr>
    </w:div>
    <w:div w:id="2062630585">
      <w:bodyDiv w:val="1"/>
      <w:marLeft w:val="0"/>
      <w:marRight w:val="0"/>
      <w:marTop w:val="0"/>
      <w:marBottom w:val="0"/>
      <w:divBdr>
        <w:top w:val="none" w:sz="0" w:space="0" w:color="auto"/>
        <w:left w:val="none" w:sz="0" w:space="0" w:color="auto"/>
        <w:bottom w:val="none" w:sz="0" w:space="0" w:color="auto"/>
        <w:right w:val="none" w:sz="0" w:space="0" w:color="auto"/>
      </w:divBdr>
    </w:div>
    <w:div w:id="2071951652">
      <w:bodyDiv w:val="1"/>
      <w:marLeft w:val="0"/>
      <w:marRight w:val="0"/>
      <w:marTop w:val="0"/>
      <w:marBottom w:val="0"/>
      <w:divBdr>
        <w:top w:val="none" w:sz="0" w:space="0" w:color="auto"/>
        <w:left w:val="none" w:sz="0" w:space="0" w:color="auto"/>
        <w:bottom w:val="none" w:sz="0" w:space="0" w:color="auto"/>
        <w:right w:val="none" w:sz="0" w:space="0" w:color="auto"/>
      </w:divBdr>
    </w:div>
    <w:div w:id="2073652415">
      <w:bodyDiv w:val="1"/>
      <w:marLeft w:val="0"/>
      <w:marRight w:val="0"/>
      <w:marTop w:val="0"/>
      <w:marBottom w:val="0"/>
      <w:divBdr>
        <w:top w:val="none" w:sz="0" w:space="0" w:color="auto"/>
        <w:left w:val="none" w:sz="0" w:space="0" w:color="auto"/>
        <w:bottom w:val="none" w:sz="0" w:space="0" w:color="auto"/>
        <w:right w:val="none" w:sz="0" w:space="0" w:color="auto"/>
      </w:divBdr>
    </w:div>
    <w:div w:id="2079358575">
      <w:bodyDiv w:val="1"/>
      <w:marLeft w:val="0"/>
      <w:marRight w:val="0"/>
      <w:marTop w:val="0"/>
      <w:marBottom w:val="0"/>
      <w:divBdr>
        <w:top w:val="none" w:sz="0" w:space="0" w:color="auto"/>
        <w:left w:val="none" w:sz="0" w:space="0" w:color="auto"/>
        <w:bottom w:val="none" w:sz="0" w:space="0" w:color="auto"/>
        <w:right w:val="none" w:sz="0" w:space="0" w:color="auto"/>
      </w:divBdr>
    </w:div>
    <w:div w:id="2085372749">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105035353">
      <w:bodyDiv w:val="1"/>
      <w:marLeft w:val="0"/>
      <w:marRight w:val="0"/>
      <w:marTop w:val="0"/>
      <w:marBottom w:val="0"/>
      <w:divBdr>
        <w:top w:val="none" w:sz="0" w:space="0" w:color="auto"/>
        <w:left w:val="none" w:sz="0" w:space="0" w:color="auto"/>
        <w:bottom w:val="none" w:sz="0" w:space="0" w:color="auto"/>
        <w:right w:val="none" w:sz="0" w:space="0" w:color="auto"/>
      </w:divBdr>
    </w:div>
    <w:div w:id="2106878195">
      <w:bodyDiv w:val="1"/>
      <w:marLeft w:val="0"/>
      <w:marRight w:val="0"/>
      <w:marTop w:val="0"/>
      <w:marBottom w:val="0"/>
      <w:divBdr>
        <w:top w:val="none" w:sz="0" w:space="0" w:color="auto"/>
        <w:left w:val="none" w:sz="0" w:space="0" w:color="auto"/>
        <w:bottom w:val="none" w:sz="0" w:space="0" w:color="auto"/>
        <w:right w:val="none" w:sz="0" w:space="0" w:color="auto"/>
      </w:divBdr>
    </w:div>
    <w:div w:id="2107114394">
      <w:bodyDiv w:val="1"/>
      <w:marLeft w:val="0"/>
      <w:marRight w:val="0"/>
      <w:marTop w:val="0"/>
      <w:marBottom w:val="0"/>
      <w:divBdr>
        <w:top w:val="none" w:sz="0" w:space="0" w:color="auto"/>
        <w:left w:val="none" w:sz="0" w:space="0" w:color="auto"/>
        <w:bottom w:val="none" w:sz="0" w:space="0" w:color="auto"/>
        <w:right w:val="none" w:sz="0" w:space="0" w:color="auto"/>
      </w:divBdr>
    </w:div>
    <w:div w:id="2122527859">
      <w:bodyDiv w:val="1"/>
      <w:marLeft w:val="0"/>
      <w:marRight w:val="0"/>
      <w:marTop w:val="0"/>
      <w:marBottom w:val="0"/>
      <w:divBdr>
        <w:top w:val="none" w:sz="0" w:space="0" w:color="auto"/>
        <w:left w:val="none" w:sz="0" w:space="0" w:color="auto"/>
        <w:bottom w:val="none" w:sz="0" w:space="0" w:color="auto"/>
        <w:right w:val="none" w:sz="0" w:space="0" w:color="auto"/>
      </w:divBdr>
    </w:div>
    <w:div w:id="2124880504">
      <w:bodyDiv w:val="1"/>
      <w:marLeft w:val="0"/>
      <w:marRight w:val="0"/>
      <w:marTop w:val="0"/>
      <w:marBottom w:val="0"/>
      <w:divBdr>
        <w:top w:val="none" w:sz="0" w:space="0" w:color="auto"/>
        <w:left w:val="none" w:sz="0" w:space="0" w:color="auto"/>
        <w:bottom w:val="none" w:sz="0" w:space="0" w:color="auto"/>
        <w:right w:val="none" w:sz="0" w:space="0" w:color="auto"/>
      </w:divBdr>
    </w:div>
    <w:div w:id="2127389612">
      <w:bodyDiv w:val="1"/>
      <w:marLeft w:val="0"/>
      <w:marRight w:val="0"/>
      <w:marTop w:val="0"/>
      <w:marBottom w:val="0"/>
      <w:divBdr>
        <w:top w:val="none" w:sz="0" w:space="0" w:color="auto"/>
        <w:left w:val="none" w:sz="0" w:space="0" w:color="auto"/>
        <w:bottom w:val="none" w:sz="0" w:space="0" w:color="auto"/>
        <w:right w:val="none" w:sz="0" w:space="0" w:color="auto"/>
      </w:divBdr>
    </w:div>
    <w:div w:id="2129816455">
      <w:bodyDiv w:val="1"/>
      <w:marLeft w:val="0"/>
      <w:marRight w:val="0"/>
      <w:marTop w:val="0"/>
      <w:marBottom w:val="0"/>
      <w:divBdr>
        <w:top w:val="none" w:sz="0" w:space="0" w:color="auto"/>
        <w:left w:val="none" w:sz="0" w:space="0" w:color="auto"/>
        <w:bottom w:val="none" w:sz="0" w:space="0" w:color="auto"/>
        <w:right w:val="none" w:sz="0" w:space="0" w:color="auto"/>
      </w:divBdr>
    </w:div>
    <w:div w:id="2131825925">
      <w:bodyDiv w:val="1"/>
      <w:marLeft w:val="0"/>
      <w:marRight w:val="0"/>
      <w:marTop w:val="0"/>
      <w:marBottom w:val="0"/>
      <w:divBdr>
        <w:top w:val="none" w:sz="0" w:space="0" w:color="auto"/>
        <w:left w:val="none" w:sz="0" w:space="0" w:color="auto"/>
        <w:bottom w:val="none" w:sz="0" w:space="0" w:color="auto"/>
        <w:right w:val="none" w:sz="0" w:space="0" w:color="auto"/>
      </w:divBdr>
    </w:div>
    <w:div w:id="2131975715">
      <w:bodyDiv w:val="1"/>
      <w:marLeft w:val="0"/>
      <w:marRight w:val="0"/>
      <w:marTop w:val="0"/>
      <w:marBottom w:val="0"/>
      <w:divBdr>
        <w:top w:val="none" w:sz="0" w:space="0" w:color="auto"/>
        <w:left w:val="none" w:sz="0" w:space="0" w:color="auto"/>
        <w:bottom w:val="none" w:sz="0" w:space="0" w:color="auto"/>
        <w:right w:val="none" w:sz="0" w:space="0" w:color="auto"/>
      </w:divBdr>
    </w:div>
    <w:div w:id="2134210753">
      <w:bodyDiv w:val="1"/>
      <w:marLeft w:val="0"/>
      <w:marRight w:val="0"/>
      <w:marTop w:val="0"/>
      <w:marBottom w:val="0"/>
      <w:divBdr>
        <w:top w:val="none" w:sz="0" w:space="0" w:color="auto"/>
        <w:left w:val="none" w:sz="0" w:space="0" w:color="auto"/>
        <w:bottom w:val="none" w:sz="0" w:space="0" w:color="auto"/>
        <w:right w:val="none" w:sz="0" w:space="0" w:color="auto"/>
      </w:divBdr>
    </w:div>
    <w:div w:id="214495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8.png"/><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s://cancer-code-europe.iarc.fr/index.php/ro/12-modalitati/tutu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chart" Target="charts/chart3.xml"/><Relationship Id="rId33" Type="http://schemas.openxmlformats.org/officeDocument/2006/relationships/hyperlink" Target="https://www.who.int/europe/initiatives/health-behaviour-in-school-aged-children-(hbsc)-study"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9.png"/><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2.xml"/><Relationship Id="rId32" Type="http://schemas.openxmlformats.org/officeDocument/2006/relationships/hyperlink" Target="https://www.thelancet.com/action/showPdf?pii=S2468-2667%2821%2900114-6" TargetMode="External"/><Relationship Id="rId5" Type="http://schemas.openxmlformats.org/officeDocument/2006/relationships/webSettings" Target="webSettings.xml"/><Relationship Id="rId15" Type="http://schemas.openxmlformats.org/officeDocument/2006/relationships/hyperlink" Target="https://ec.europa.eu/eurostat/databrowser/view/HLTH_EHIS_SK3E__custom_5743706/default/table?lang=en&amp;page=time:2019" TargetMode="External"/><Relationship Id="rId23" Type="http://schemas.openxmlformats.org/officeDocument/2006/relationships/image" Target="media/image11.emf"/><Relationship Id="rId28" Type="http://schemas.openxmlformats.org/officeDocument/2006/relationships/image" Target="media/image13.emf"/><Relationship Id="rId10" Type="http://schemas.openxmlformats.org/officeDocument/2006/relationships/image" Target="media/image3.png"/><Relationship Id="rId19" Type="http://schemas.openxmlformats.org/officeDocument/2006/relationships/hyperlink" Target="https://tobaccoatlas.org/challenges/health-effects/" TargetMode="External"/><Relationship Id="rId31" Type="http://schemas.openxmlformats.org/officeDocument/2006/relationships/hyperlink" Target="https://bmcpublichealth.biomedcentral.com/articles/10.1186/s12889-022-12493-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europa.eu/eurostat/databrowser/view/HLTH_EHIS_SK3E__custom_5743706/default/table?lang=en&amp;page=time:2019" TargetMode="External"/><Relationship Id="rId22" Type="http://schemas.openxmlformats.org/officeDocument/2006/relationships/image" Target="media/image10.png"/><Relationship Id="rId27" Type="http://schemas.openxmlformats.org/officeDocument/2006/relationships/image" Target="media/image12.emf"/><Relationship Id="rId30" Type="http://schemas.openxmlformats.org/officeDocument/2006/relationships/hyperlink" Target="https://pubmed.ncbi.nlm.nih.gov/34694383/" TargetMode="Externa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Campanii\Campanie%20tutun\2023\Tutu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ugenia%20Bratu\Eugenia\PROMOVARE\CAMPANIE%20TUTUN\grafice%20YRBS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Campanii\Campanie%20tutun\2023\Tutun.xlsx" TargetMode="Externa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eugen\Downloads\anku3x.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Sheet1!$D$3</c:f>
              <c:strCache>
                <c:ptCount val="1"/>
                <c:pt idx="0">
                  <c:v>Romania</c:v>
                </c:pt>
              </c:strCache>
            </c:strRef>
          </c:tx>
          <c:invertIfNegative val="0"/>
          <c:dLbls>
            <c:dLbl>
              <c:idx val="0"/>
              <c:layout>
                <c:manualLayout>
                  <c:x val="-1.3888888888888888E-2"/>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666666666666666E-2"/>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7777777777777779E-3"/>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6666666666666666E-2"/>
                  <c:y val="2.314814814814814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Sheet1!$C$4:$C$10</c:f>
              <c:strCache>
                <c:ptCount val="7"/>
                <c:pt idx="0">
                  <c:v>15 - 19 ani</c:v>
                </c:pt>
                <c:pt idx="1">
                  <c:v>20 - 24 ani</c:v>
                </c:pt>
                <c:pt idx="2">
                  <c:v>25 - 34 ani</c:v>
                </c:pt>
                <c:pt idx="3">
                  <c:v>35 - 44 ani</c:v>
                </c:pt>
                <c:pt idx="4">
                  <c:v>45 - 64 ani</c:v>
                </c:pt>
                <c:pt idx="5">
                  <c:v>65 - 74 ani</c:v>
                </c:pt>
                <c:pt idx="6">
                  <c:v>75 ani si peste</c:v>
                </c:pt>
              </c:strCache>
            </c:strRef>
          </c:cat>
          <c:val>
            <c:numRef>
              <c:f>Sheet1!$D$4:$D$10</c:f>
              <c:numCache>
                <c:formatCode>General</c:formatCode>
                <c:ptCount val="7"/>
                <c:pt idx="0">
                  <c:v>8.3000000000000007</c:v>
                </c:pt>
                <c:pt idx="1">
                  <c:v>17.3</c:v>
                </c:pt>
                <c:pt idx="2">
                  <c:v>26.6</c:v>
                </c:pt>
                <c:pt idx="3">
                  <c:v>25.4</c:v>
                </c:pt>
                <c:pt idx="4">
                  <c:v>22.5</c:v>
                </c:pt>
                <c:pt idx="5">
                  <c:v>10.3</c:v>
                </c:pt>
                <c:pt idx="6">
                  <c:v>3.2</c:v>
                </c:pt>
              </c:numCache>
            </c:numRef>
          </c:val>
        </c:ser>
        <c:ser>
          <c:idx val="1"/>
          <c:order val="1"/>
          <c:tx>
            <c:strRef>
              <c:f>Sheet1!$E$3</c:f>
              <c:strCache>
                <c:ptCount val="1"/>
                <c:pt idx="0">
                  <c:v>UE - 27 </c:v>
                </c:pt>
              </c:strCache>
            </c:strRef>
          </c:tx>
          <c:invertIfNegative val="0"/>
          <c:dLbls>
            <c:dLbl>
              <c:idx val="2"/>
              <c:layout>
                <c:manualLayout>
                  <c:x val="1.1111111111111112E-2"/>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3333333333333332E-3"/>
                  <c:y val="2.777777777777777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5000000000000001E-2"/>
                  <c:y val="1.851851851851851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Sheet1!$C$4:$C$10</c:f>
              <c:strCache>
                <c:ptCount val="7"/>
                <c:pt idx="0">
                  <c:v>15 - 19 ani</c:v>
                </c:pt>
                <c:pt idx="1">
                  <c:v>20 - 24 ani</c:v>
                </c:pt>
                <c:pt idx="2">
                  <c:v>25 - 34 ani</c:v>
                </c:pt>
                <c:pt idx="3">
                  <c:v>35 - 44 ani</c:v>
                </c:pt>
                <c:pt idx="4">
                  <c:v>45 - 64 ani</c:v>
                </c:pt>
                <c:pt idx="5">
                  <c:v>65 - 74 ani</c:v>
                </c:pt>
                <c:pt idx="6">
                  <c:v>75 ani si peste</c:v>
                </c:pt>
              </c:strCache>
            </c:strRef>
          </c:cat>
          <c:val>
            <c:numRef>
              <c:f>Sheet1!$E$4:$E$10</c:f>
              <c:numCache>
                <c:formatCode>General</c:formatCode>
                <c:ptCount val="7"/>
                <c:pt idx="0">
                  <c:v>14.1</c:v>
                </c:pt>
                <c:pt idx="1">
                  <c:v>20.3</c:v>
                </c:pt>
                <c:pt idx="2">
                  <c:v>23.4</c:v>
                </c:pt>
                <c:pt idx="3">
                  <c:v>23.6</c:v>
                </c:pt>
                <c:pt idx="4">
                  <c:v>22.5</c:v>
                </c:pt>
                <c:pt idx="5">
                  <c:v>12.3</c:v>
                </c:pt>
                <c:pt idx="6">
                  <c:v>4.2</c:v>
                </c:pt>
              </c:numCache>
            </c:numRef>
          </c:val>
        </c:ser>
        <c:dLbls>
          <c:showLegendKey val="0"/>
          <c:showVal val="0"/>
          <c:showCatName val="0"/>
          <c:showSerName val="0"/>
          <c:showPercent val="0"/>
          <c:showBubbleSize val="0"/>
        </c:dLbls>
        <c:gapWidth val="150"/>
        <c:axId val="1071581312"/>
        <c:axId val="1071575872"/>
      </c:barChart>
      <c:catAx>
        <c:axId val="1071581312"/>
        <c:scaling>
          <c:orientation val="minMax"/>
        </c:scaling>
        <c:delete val="0"/>
        <c:axPos val="b"/>
        <c:numFmt formatCode="General" sourceLinked="0"/>
        <c:majorTickMark val="out"/>
        <c:minorTickMark val="none"/>
        <c:tickLblPos val="nextTo"/>
        <c:crossAx val="1071575872"/>
        <c:crosses val="autoZero"/>
        <c:auto val="1"/>
        <c:lblAlgn val="ctr"/>
        <c:lblOffset val="100"/>
        <c:noMultiLvlLbl val="0"/>
      </c:catAx>
      <c:valAx>
        <c:axId val="1071575872"/>
        <c:scaling>
          <c:orientation val="minMax"/>
        </c:scaling>
        <c:delete val="0"/>
        <c:axPos val="l"/>
        <c:majorGridlines/>
        <c:numFmt formatCode="General" sourceLinked="1"/>
        <c:majorTickMark val="out"/>
        <c:minorTickMark val="none"/>
        <c:tickLblPos val="nextTo"/>
        <c:crossAx val="1071581312"/>
        <c:crosses val="autoZero"/>
        <c:crossBetween val="between"/>
      </c:valAx>
    </c:plotArea>
    <c:legend>
      <c:legendPos val="r"/>
      <c:overlay val="0"/>
    </c:legend>
    <c:plotVisOnly val="1"/>
    <c:dispBlanksAs val="gap"/>
    <c:showDLblsOverMax val="0"/>
  </c:chart>
  <c:txPr>
    <a:bodyPr/>
    <a:lstStyle/>
    <a:p>
      <a:pPr>
        <a:defRPr>
          <a:latin typeface="Times New Roman"/>
          <a:cs typeface="Times New Roman"/>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RO" sz="1200">
                <a:latin typeface="Times New Roman" panose="02020603050405020304" pitchFamily="18" charset="0"/>
                <a:cs typeface="Times New Roman" panose="02020603050405020304" pitchFamily="18" charset="0"/>
              </a:rPr>
              <a:t>Vârsta la care s-a fumat prima țigară, elevi clasele IX-XIII, România</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9.2150481189851266E-2"/>
          <c:y val="0.17171296296296296"/>
          <c:w val="0.8772939632545933"/>
          <c:h val="0.56831838728492268"/>
        </c:manualLayout>
      </c:layout>
      <c:barChart>
        <c:barDir val="col"/>
        <c:grouping val="clustered"/>
        <c:varyColors val="0"/>
        <c:ser>
          <c:idx val="0"/>
          <c:order val="0"/>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Sheet1!$C$2:$C$8</c:f>
              <c:strCache>
                <c:ptCount val="7"/>
                <c:pt idx="0">
                  <c:v>8 sau mai puțin</c:v>
                </c:pt>
                <c:pt idx="1">
                  <c:v>9 sau 10 ani</c:v>
                </c:pt>
                <c:pt idx="2">
                  <c:v>11 sau 12 ani</c:v>
                </c:pt>
                <c:pt idx="3">
                  <c:v>13 sau 14 ani</c:v>
                </c:pt>
                <c:pt idx="4">
                  <c:v>15 sau 16 ani</c:v>
                </c:pt>
                <c:pt idx="5">
                  <c:v>17 sau mai mulți ani</c:v>
                </c:pt>
                <c:pt idx="6">
                  <c:v>nu am fumat niciodată o țigară</c:v>
                </c:pt>
              </c:strCache>
            </c:strRef>
          </c:cat>
          <c:val>
            <c:numRef>
              <c:f>Sheet1!$D$2:$D$8</c:f>
              <c:numCache>
                <c:formatCode>General</c:formatCode>
                <c:ptCount val="7"/>
                <c:pt idx="0">
                  <c:v>2.4</c:v>
                </c:pt>
                <c:pt idx="1">
                  <c:v>3.2</c:v>
                </c:pt>
                <c:pt idx="2">
                  <c:v>9.6999999999999993</c:v>
                </c:pt>
                <c:pt idx="3">
                  <c:v>25</c:v>
                </c:pt>
                <c:pt idx="4">
                  <c:v>29</c:v>
                </c:pt>
                <c:pt idx="5">
                  <c:v>10</c:v>
                </c:pt>
                <c:pt idx="6">
                  <c:v>20.7</c:v>
                </c:pt>
              </c:numCache>
            </c:numRef>
          </c:val>
        </c:ser>
        <c:dLbls>
          <c:showLegendKey val="0"/>
          <c:showVal val="0"/>
          <c:showCatName val="0"/>
          <c:showSerName val="0"/>
          <c:showPercent val="0"/>
          <c:showBubbleSize val="0"/>
        </c:dLbls>
        <c:gapWidth val="0"/>
        <c:overlap val="-27"/>
        <c:axId val="1071585120"/>
        <c:axId val="1071581856"/>
      </c:barChart>
      <c:catAx>
        <c:axId val="107158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1581856"/>
        <c:crosses val="autoZero"/>
        <c:auto val="1"/>
        <c:lblAlgn val="ctr"/>
        <c:lblOffset val="100"/>
        <c:noMultiLvlLbl val="0"/>
      </c:catAx>
      <c:valAx>
        <c:axId val="1071581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o-RO"/>
                  <a:t>%</a:t>
                </a:r>
                <a:endParaRPr lang="en-US"/>
              </a:p>
            </c:rich>
          </c:tx>
          <c:layout>
            <c:manualLayout>
              <c:xMode val="edge"/>
              <c:yMode val="edge"/>
              <c:x val="3.3333333333333333E-2"/>
              <c:y val="7.3580489938757654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1585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Sheet1!$E$25</c:f>
              <c:strCache>
                <c:ptCount val="1"/>
                <c:pt idx="0">
                  <c:v>Baieti</c:v>
                </c:pt>
              </c:strCache>
            </c:strRef>
          </c:tx>
          <c:spPr>
            <a:solidFill>
              <a:schemeClr val="tx2"/>
            </a:solidFill>
          </c:spPr>
          <c:invertIfNegative val="0"/>
          <c:dLbls>
            <c:dLbl>
              <c:idx val="5"/>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Sheet1!$D$26:$D$32</c:f>
              <c:strCache>
                <c:ptCount val="7"/>
                <c:pt idx="0">
                  <c:v>8 ani sau mai puțin</c:v>
                </c:pt>
                <c:pt idx="1">
                  <c:v>9 sau 10 ani</c:v>
                </c:pt>
                <c:pt idx="2">
                  <c:v>11 sau 12 ani</c:v>
                </c:pt>
                <c:pt idx="3">
                  <c:v>13 sau 14 ani</c:v>
                </c:pt>
                <c:pt idx="4">
                  <c:v>15 sau 16 ani</c:v>
                </c:pt>
                <c:pt idx="5">
                  <c:v>17  ani sau mai mulți ani</c:v>
                </c:pt>
                <c:pt idx="6">
                  <c:v>nu am fumat niciodată o țigară</c:v>
                </c:pt>
              </c:strCache>
            </c:strRef>
          </c:cat>
          <c:val>
            <c:numRef>
              <c:f>Sheet1!$E$26:$E$32</c:f>
              <c:numCache>
                <c:formatCode>General</c:formatCode>
                <c:ptCount val="7"/>
                <c:pt idx="0">
                  <c:v>3.6</c:v>
                </c:pt>
                <c:pt idx="1">
                  <c:v>4.7</c:v>
                </c:pt>
                <c:pt idx="2">
                  <c:v>10.4</c:v>
                </c:pt>
                <c:pt idx="3">
                  <c:v>24</c:v>
                </c:pt>
                <c:pt idx="4">
                  <c:v>26.2</c:v>
                </c:pt>
                <c:pt idx="5">
                  <c:v>10.6</c:v>
                </c:pt>
                <c:pt idx="6">
                  <c:v>20.6</c:v>
                </c:pt>
              </c:numCache>
            </c:numRef>
          </c:val>
        </c:ser>
        <c:ser>
          <c:idx val="2"/>
          <c:order val="1"/>
          <c:tx>
            <c:strRef>
              <c:f>Sheet1!$F$25</c:f>
              <c:strCache>
                <c:ptCount val="1"/>
                <c:pt idx="0">
                  <c:v>Fete</c:v>
                </c:pt>
              </c:strCache>
            </c:strRef>
          </c:tx>
          <c:spPr>
            <a:solidFill>
              <a:schemeClr val="accent2"/>
            </a:solidFill>
            <a:ln w="25400" cap="flat" cmpd="sng" algn="ctr">
              <a:solidFill>
                <a:schemeClr val="accent2"/>
              </a:solidFill>
              <a:prstDash val="solid"/>
            </a:ln>
            <a:effectLst/>
          </c:spPr>
          <c:invertIfNegative val="0"/>
          <c:dLbls>
            <c:dLbl>
              <c:idx val="2"/>
              <c:layout>
                <c:manualLayout>
                  <c:x val="2.7777777777777779E-3"/>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3888888888888888E-2"/>
                  <c:y val="2.3148148148148147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2222222222222223E-2"/>
                  <c:y val="2.314814814814814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Sheet1!$D$26:$D$32</c:f>
              <c:strCache>
                <c:ptCount val="7"/>
                <c:pt idx="0">
                  <c:v>8 ani sau mai puțin</c:v>
                </c:pt>
                <c:pt idx="1">
                  <c:v>9 sau 10 ani</c:v>
                </c:pt>
                <c:pt idx="2">
                  <c:v>11 sau 12 ani</c:v>
                </c:pt>
                <c:pt idx="3">
                  <c:v>13 sau 14 ani</c:v>
                </c:pt>
                <c:pt idx="4">
                  <c:v>15 sau 16 ani</c:v>
                </c:pt>
                <c:pt idx="5">
                  <c:v>17  ani sau mai mulți ani</c:v>
                </c:pt>
                <c:pt idx="6">
                  <c:v>nu am fumat niciodată o țigară</c:v>
                </c:pt>
              </c:strCache>
            </c:strRef>
          </c:cat>
          <c:val>
            <c:numRef>
              <c:f>Sheet1!$F$26:$F$32</c:f>
              <c:numCache>
                <c:formatCode>General</c:formatCode>
                <c:ptCount val="7"/>
                <c:pt idx="0">
                  <c:v>1.3</c:v>
                </c:pt>
                <c:pt idx="1">
                  <c:v>2</c:v>
                </c:pt>
                <c:pt idx="2">
                  <c:v>9.1999999999999993</c:v>
                </c:pt>
                <c:pt idx="3">
                  <c:v>25.9</c:v>
                </c:pt>
                <c:pt idx="4">
                  <c:v>30.5</c:v>
                </c:pt>
                <c:pt idx="5">
                  <c:v>9.8000000000000007</c:v>
                </c:pt>
                <c:pt idx="6">
                  <c:v>21.3</c:v>
                </c:pt>
              </c:numCache>
            </c:numRef>
          </c:val>
        </c:ser>
        <c:dLbls>
          <c:showLegendKey val="0"/>
          <c:showVal val="0"/>
          <c:showCatName val="0"/>
          <c:showSerName val="0"/>
          <c:showPercent val="0"/>
          <c:showBubbleSize val="0"/>
        </c:dLbls>
        <c:gapWidth val="150"/>
        <c:axId val="1071582400"/>
        <c:axId val="1071588384"/>
      </c:barChart>
      <c:catAx>
        <c:axId val="1071582400"/>
        <c:scaling>
          <c:orientation val="minMax"/>
        </c:scaling>
        <c:delete val="0"/>
        <c:axPos val="b"/>
        <c:numFmt formatCode="General" sourceLinked="0"/>
        <c:majorTickMark val="out"/>
        <c:minorTickMark val="none"/>
        <c:tickLblPos val="nextTo"/>
        <c:txPr>
          <a:bodyPr/>
          <a:lstStyle/>
          <a:p>
            <a:pPr>
              <a:defRPr sz="900"/>
            </a:pPr>
            <a:endParaRPr lang="en-US"/>
          </a:p>
        </c:txPr>
        <c:crossAx val="1071588384"/>
        <c:crosses val="autoZero"/>
        <c:auto val="1"/>
        <c:lblAlgn val="ctr"/>
        <c:lblOffset val="100"/>
        <c:noMultiLvlLbl val="0"/>
      </c:catAx>
      <c:valAx>
        <c:axId val="1071588384"/>
        <c:scaling>
          <c:orientation val="minMax"/>
        </c:scaling>
        <c:delete val="0"/>
        <c:axPos val="l"/>
        <c:majorGridlines/>
        <c:numFmt formatCode="General" sourceLinked="1"/>
        <c:majorTickMark val="out"/>
        <c:minorTickMark val="none"/>
        <c:tickLblPos val="nextTo"/>
        <c:crossAx val="107158240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7.8787344891292077E-3"/>
          <c:y val="9.9538562519663337E-2"/>
          <c:w val="0.99015158188858854"/>
          <c:h val="0.8929989833200771"/>
        </c:manualLayout>
      </c:layout>
      <c:lineChart>
        <c:grouping val="standard"/>
        <c:varyColors val="0"/>
        <c:ser>
          <c:idx val="0"/>
          <c:order val="0"/>
          <c:tx>
            <c:strRef>
              <c:f>'g4-1'!$B$28</c:f>
              <c:strCache>
                <c:ptCount val="1"/>
                <c:pt idx="0">
                  <c:v>2011</c:v>
                </c:pt>
              </c:strCache>
            </c:strRef>
          </c:tx>
          <c:spPr>
            <a:ln w="25400">
              <a:noFill/>
            </a:ln>
            <a:effectLst/>
          </c:spPr>
          <c:marker>
            <c:symbol val="circle"/>
            <c:size val="6"/>
            <c:spPr>
              <a:solidFill>
                <a:srgbClr val="ADCEED"/>
              </a:solidFill>
              <a:ln w="3175">
                <a:solidFill>
                  <a:srgbClr val="ADCEED"/>
                </a:solidFill>
                <a:prstDash val="solid"/>
              </a:ln>
              <a:effectLst/>
            </c:spPr>
          </c:marker>
          <c:dPt>
            <c:idx val="13"/>
            <c:marker>
              <c:spPr>
                <a:solidFill>
                  <a:srgbClr val="963C2D"/>
                </a:solidFill>
                <a:ln w="3175">
                  <a:solidFill>
                    <a:srgbClr val="963C2D"/>
                  </a:solidFill>
                  <a:prstDash val="solid"/>
                </a:ln>
                <a:effectLst/>
              </c:spPr>
            </c:marker>
            <c:bubble3D val="0"/>
            <c:extLst xmlns:c16r2="http://schemas.microsoft.com/office/drawing/2015/06/chart">
              <c:ext xmlns:c16="http://schemas.microsoft.com/office/drawing/2014/chart" uri="{C3380CC4-5D6E-409C-BE32-E72D297353CC}">
                <c16:uniqueId val="{00000000-57F1-41EE-B96B-A8E1CF36609E}"/>
              </c:ext>
            </c:extLst>
          </c:dPt>
          <c:dPt>
            <c:idx val="26"/>
            <c:marker>
              <c:spPr>
                <a:solidFill>
                  <a:srgbClr val="FEC577"/>
                </a:solidFill>
                <a:ln w="3175">
                  <a:solidFill>
                    <a:srgbClr val="FEC577"/>
                  </a:solidFill>
                  <a:prstDash val="solid"/>
                </a:ln>
                <a:effectLst/>
              </c:spPr>
            </c:marker>
            <c:bubble3D val="0"/>
            <c:extLst xmlns:c16r2="http://schemas.microsoft.com/office/drawing/2015/06/chart">
              <c:ext xmlns:c16="http://schemas.microsoft.com/office/drawing/2014/chart" uri="{C3380CC4-5D6E-409C-BE32-E72D297353CC}">
                <c16:uniqueId val="{00000001-57F1-41EE-B96B-A8E1CF36609E}"/>
              </c:ext>
            </c:extLst>
          </c:dPt>
          <c:cat>
            <c:strRef>
              <c:f>'g4-1'!$A$29:$A$60</c:f>
              <c:strCache>
                <c:ptCount val="32"/>
                <c:pt idx="0">
                  <c:v>Malta</c:v>
                </c:pt>
                <c:pt idx="1">
                  <c:v>Sweden</c:v>
                </c:pt>
                <c:pt idx="2">
                  <c:v>Portugal</c:v>
                </c:pt>
                <c:pt idx="3">
                  <c:v>Cyprus</c:v>
                </c:pt>
                <c:pt idx="4">
                  <c:v>Ireland</c:v>
                </c:pt>
                <c:pt idx="5">
                  <c:v>Netherlands</c:v>
                </c:pt>
                <c:pt idx="6">
                  <c:v>Greece</c:v>
                </c:pt>
                <c:pt idx="7">
                  <c:v>Finland</c:v>
                </c:pt>
                <c:pt idx="8">
                  <c:v>Slovenia</c:v>
                </c:pt>
                <c:pt idx="9">
                  <c:v>Germany</c:v>
                </c:pt>
                <c:pt idx="10">
                  <c:v>Estonia</c:v>
                </c:pt>
                <c:pt idx="11">
                  <c:v>Spain</c:v>
                </c:pt>
                <c:pt idx="12">
                  <c:v>Lithuania</c:v>
                </c:pt>
                <c:pt idx="13">
                  <c:v>EU25</c:v>
                </c:pt>
                <c:pt idx="14">
                  <c:v>France</c:v>
                </c:pt>
                <c:pt idx="15">
                  <c:v>Poland</c:v>
                </c:pt>
                <c:pt idx="16">
                  <c:v>Denmark</c:v>
                </c:pt>
                <c:pt idx="17">
                  <c:v>Latvia</c:v>
                </c:pt>
                <c:pt idx="18">
                  <c:v>Austria</c:v>
                </c:pt>
                <c:pt idx="19">
                  <c:v>Czech Republic</c:v>
                </c:pt>
                <c:pt idx="20">
                  <c:v>Hungary</c:v>
                </c:pt>
                <c:pt idx="21">
                  <c:v>Croatia</c:v>
                </c:pt>
                <c:pt idx="22">
                  <c:v>Slovak Republic</c:v>
                </c:pt>
                <c:pt idx="23">
                  <c:v>Romania</c:v>
                </c:pt>
                <c:pt idx="24">
                  <c:v>Bulgaria</c:v>
                </c:pt>
                <c:pt idx="25">
                  <c:v>Italy</c:v>
                </c:pt>
                <c:pt idx="27">
                  <c:v>Iceland</c:v>
                </c:pt>
                <c:pt idx="28">
                  <c:v>Norway</c:v>
                </c:pt>
                <c:pt idx="29">
                  <c:v>Serbia</c:v>
                </c:pt>
                <c:pt idx="30">
                  <c:v>Montenegro</c:v>
                </c:pt>
                <c:pt idx="31">
                  <c:v>Ukraine</c:v>
                </c:pt>
              </c:strCache>
            </c:strRef>
          </c:cat>
          <c:val>
            <c:numRef>
              <c:f>'g4-1'!$B$29:$B$60</c:f>
              <c:numCache>
                <c:formatCode>0</c:formatCode>
                <c:ptCount val="32"/>
                <c:pt idx="0">
                  <c:v>22</c:v>
                </c:pt>
                <c:pt idx="1">
                  <c:v>21</c:v>
                </c:pt>
                <c:pt idx="2">
                  <c:v>29</c:v>
                </c:pt>
                <c:pt idx="3">
                  <c:v>23</c:v>
                </c:pt>
                <c:pt idx="4">
                  <c:v>21</c:v>
                </c:pt>
                <c:pt idx="5">
                  <c:v>29</c:v>
                </c:pt>
                <c:pt idx="6">
                  <c:v>21</c:v>
                </c:pt>
                <c:pt idx="7">
                  <c:v>34</c:v>
                </c:pt>
                <c:pt idx="8">
                  <c:v>32</c:v>
                </c:pt>
                <c:pt idx="9">
                  <c:v>33</c:v>
                </c:pt>
                <c:pt idx="10">
                  <c:v>29</c:v>
                </c:pt>
                <c:pt idx="12">
                  <c:v>37</c:v>
                </c:pt>
                <c:pt idx="13">
                  <c:v>31.608695652173914</c:v>
                </c:pt>
                <c:pt idx="14">
                  <c:v>38</c:v>
                </c:pt>
                <c:pt idx="15">
                  <c:v>28</c:v>
                </c:pt>
                <c:pt idx="16">
                  <c:v>24</c:v>
                </c:pt>
                <c:pt idx="17">
                  <c:v>43</c:v>
                </c:pt>
                <c:pt idx="19">
                  <c:v>42</c:v>
                </c:pt>
                <c:pt idx="20">
                  <c:v>37</c:v>
                </c:pt>
                <c:pt idx="21">
                  <c:v>41</c:v>
                </c:pt>
                <c:pt idx="22">
                  <c:v>39</c:v>
                </c:pt>
                <c:pt idx="23">
                  <c:v>29</c:v>
                </c:pt>
                <c:pt idx="24">
                  <c:v>39</c:v>
                </c:pt>
                <c:pt idx="25">
                  <c:v>36</c:v>
                </c:pt>
                <c:pt idx="27">
                  <c:v>10</c:v>
                </c:pt>
                <c:pt idx="28">
                  <c:v>14</c:v>
                </c:pt>
                <c:pt idx="29">
                  <c:v>20</c:v>
                </c:pt>
                <c:pt idx="30">
                  <c:v>12</c:v>
                </c:pt>
                <c:pt idx="31">
                  <c:v>29</c:v>
                </c:pt>
              </c:numCache>
            </c:numRef>
          </c:val>
          <c:smooth val="0"/>
          <c:extLst xmlns:c16r2="http://schemas.microsoft.com/office/drawing/2015/06/chart">
            <c:ext xmlns:c16="http://schemas.microsoft.com/office/drawing/2014/chart" uri="{C3380CC4-5D6E-409C-BE32-E72D297353CC}">
              <c16:uniqueId val="{00000002-57F1-41EE-B96B-A8E1CF36609E}"/>
            </c:ext>
          </c:extLst>
        </c:ser>
        <c:ser>
          <c:idx val="1"/>
          <c:order val="1"/>
          <c:tx>
            <c:strRef>
              <c:f>'g4-1'!$C$28</c:f>
              <c:strCache>
                <c:ptCount val="1"/>
                <c:pt idx="0">
                  <c:v>2015</c:v>
                </c:pt>
              </c:strCache>
            </c:strRef>
          </c:tx>
          <c:spPr>
            <a:ln w="25400">
              <a:noFill/>
            </a:ln>
            <a:effectLst/>
          </c:spPr>
          <c:marker>
            <c:symbol val="circle"/>
            <c:size val="6"/>
            <c:spPr>
              <a:solidFill>
                <a:srgbClr val="00AACC"/>
              </a:solidFill>
              <a:ln w="3175">
                <a:solidFill>
                  <a:srgbClr val="00AACC"/>
                </a:solidFill>
                <a:prstDash val="solid"/>
              </a:ln>
              <a:effectLst/>
            </c:spPr>
          </c:marker>
          <c:dPt>
            <c:idx val="13"/>
            <c:marker>
              <c:spPr>
                <a:solidFill>
                  <a:srgbClr val="FF9071"/>
                </a:solidFill>
                <a:ln w="3175">
                  <a:solidFill>
                    <a:srgbClr val="FF9071"/>
                  </a:solidFill>
                  <a:prstDash val="solid"/>
                </a:ln>
                <a:effectLst/>
              </c:spPr>
            </c:marker>
            <c:bubble3D val="0"/>
            <c:extLst xmlns:c16r2="http://schemas.microsoft.com/office/drawing/2015/06/chart">
              <c:ext xmlns:c16="http://schemas.microsoft.com/office/drawing/2014/chart" uri="{C3380CC4-5D6E-409C-BE32-E72D297353CC}">
                <c16:uniqueId val="{00000003-57F1-41EE-B96B-A8E1CF36609E}"/>
              </c:ext>
            </c:extLst>
          </c:dPt>
          <c:dPt>
            <c:idx val="26"/>
            <c:marker>
              <c:spPr>
                <a:solidFill>
                  <a:srgbClr val="D68371"/>
                </a:solidFill>
                <a:ln w="3175">
                  <a:solidFill>
                    <a:srgbClr val="D68371"/>
                  </a:solidFill>
                  <a:prstDash val="solid"/>
                </a:ln>
                <a:effectLst/>
              </c:spPr>
            </c:marker>
            <c:bubble3D val="0"/>
            <c:extLst xmlns:c16r2="http://schemas.microsoft.com/office/drawing/2015/06/chart">
              <c:ext xmlns:c16="http://schemas.microsoft.com/office/drawing/2014/chart" uri="{C3380CC4-5D6E-409C-BE32-E72D297353CC}">
                <c16:uniqueId val="{00000004-57F1-41EE-B96B-A8E1CF36609E}"/>
              </c:ext>
            </c:extLst>
          </c:dPt>
          <c:cat>
            <c:strRef>
              <c:f>'g4-1'!$A$29:$A$60</c:f>
              <c:strCache>
                <c:ptCount val="32"/>
                <c:pt idx="0">
                  <c:v>Malta</c:v>
                </c:pt>
                <c:pt idx="1">
                  <c:v>Sweden</c:v>
                </c:pt>
                <c:pt idx="2">
                  <c:v>Portugal</c:v>
                </c:pt>
                <c:pt idx="3">
                  <c:v>Cyprus</c:v>
                </c:pt>
                <c:pt idx="4">
                  <c:v>Ireland</c:v>
                </c:pt>
                <c:pt idx="5">
                  <c:v>Netherlands</c:v>
                </c:pt>
                <c:pt idx="6">
                  <c:v>Greece</c:v>
                </c:pt>
                <c:pt idx="7">
                  <c:v>Finland</c:v>
                </c:pt>
                <c:pt idx="8">
                  <c:v>Slovenia</c:v>
                </c:pt>
                <c:pt idx="9">
                  <c:v>Germany</c:v>
                </c:pt>
                <c:pt idx="10">
                  <c:v>Estonia</c:v>
                </c:pt>
                <c:pt idx="11">
                  <c:v>Spain</c:v>
                </c:pt>
                <c:pt idx="12">
                  <c:v>Lithuania</c:v>
                </c:pt>
                <c:pt idx="13">
                  <c:v>EU25</c:v>
                </c:pt>
                <c:pt idx="14">
                  <c:v>France</c:v>
                </c:pt>
                <c:pt idx="15">
                  <c:v>Poland</c:v>
                </c:pt>
                <c:pt idx="16">
                  <c:v>Denmark</c:v>
                </c:pt>
                <c:pt idx="17">
                  <c:v>Latvia</c:v>
                </c:pt>
                <c:pt idx="18">
                  <c:v>Austria</c:v>
                </c:pt>
                <c:pt idx="19">
                  <c:v>Czech Republic</c:v>
                </c:pt>
                <c:pt idx="20">
                  <c:v>Hungary</c:v>
                </c:pt>
                <c:pt idx="21">
                  <c:v>Croatia</c:v>
                </c:pt>
                <c:pt idx="22">
                  <c:v>Slovak Republic</c:v>
                </c:pt>
                <c:pt idx="23">
                  <c:v>Romania</c:v>
                </c:pt>
                <c:pt idx="24">
                  <c:v>Bulgaria</c:v>
                </c:pt>
                <c:pt idx="25">
                  <c:v>Italy</c:v>
                </c:pt>
                <c:pt idx="27">
                  <c:v>Iceland</c:v>
                </c:pt>
                <c:pt idx="28">
                  <c:v>Norway</c:v>
                </c:pt>
                <c:pt idx="29">
                  <c:v>Serbia</c:v>
                </c:pt>
                <c:pt idx="30">
                  <c:v>Montenegro</c:v>
                </c:pt>
                <c:pt idx="31">
                  <c:v>Ukraine</c:v>
                </c:pt>
              </c:strCache>
            </c:strRef>
          </c:cat>
          <c:val>
            <c:numRef>
              <c:f>'g4-1'!$C$29:$C$60</c:f>
              <c:numCache>
                <c:formatCode>0</c:formatCode>
                <c:ptCount val="32"/>
                <c:pt idx="0">
                  <c:v>15</c:v>
                </c:pt>
                <c:pt idx="1">
                  <c:v>13</c:v>
                </c:pt>
                <c:pt idx="2">
                  <c:v>19</c:v>
                </c:pt>
                <c:pt idx="3">
                  <c:v>18</c:v>
                </c:pt>
                <c:pt idx="4">
                  <c:v>13</c:v>
                </c:pt>
                <c:pt idx="5">
                  <c:v>21</c:v>
                </c:pt>
                <c:pt idx="6">
                  <c:v>19</c:v>
                </c:pt>
                <c:pt idx="7">
                  <c:v>22</c:v>
                </c:pt>
                <c:pt idx="8">
                  <c:v>22</c:v>
                </c:pt>
                <c:pt idx="10">
                  <c:v>21</c:v>
                </c:pt>
                <c:pt idx="11">
                  <c:v>22</c:v>
                </c:pt>
                <c:pt idx="12">
                  <c:v>24</c:v>
                </c:pt>
                <c:pt idx="13">
                  <c:v>23.916666666666668</c:v>
                </c:pt>
                <c:pt idx="14">
                  <c:v>26</c:v>
                </c:pt>
                <c:pt idx="15">
                  <c:v>25</c:v>
                </c:pt>
                <c:pt idx="16">
                  <c:v>19</c:v>
                </c:pt>
                <c:pt idx="17">
                  <c:v>24</c:v>
                </c:pt>
                <c:pt idx="18">
                  <c:v>28</c:v>
                </c:pt>
                <c:pt idx="19">
                  <c:v>30</c:v>
                </c:pt>
                <c:pt idx="20">
                  <c:v>29</c:v>
                </c:pt>
                <c:pt idx="21">
                  <c:v>33</c:v>
                </c:pt>
                <c:pt idx="22">
                  <c:v>31</c:v>
                </c:pt>
                <c:pt idx="23">
                  <c:v>30</c:v>
                </c:pt>
                <c:pt idx="24">
                  <c:v>33</c:v>
                </c:pt>
                <c:pt idx="25">
                  <c:v>37</c:v>
                </c:pt>
                <c:pt idx="27">
                  <c:v>6</c:v>
                </c:pt>
                <c:pt idx="30">
                  <c:v>15</c:v>
                </c:pt>
                <c:pt idx="31">
                  <c:v>18</c:v>
                </c:pt>
              </c:numCache>
            </c:numRef>
          </c:val>
          <c:smooth val="0"/>
          <c:extLst xmlns:c16r2="http://schemas.microsoft.com/office/drawing/2015/06/chart">
            <c:ext xmlns:c16="http://schemas.microsoft.com/office/drawing/2014/chart" uri="{C3380CC4-5D6E-409C-BE32-E72D297353CC}">
              <c16:uniqueId val="{00000005-57F1-41EE-B96B-A8E1CF36609E}"/>
            </c:ext>
          </c:extLst>
        </c:ser>
        <c:ser>
          <c:idx val="2"/>
          <c:order val="2"/>
          <c:tx>
            <c:strRef>
              <c:f>'g4-1'!$D$28</c:f>
              <c:strCache>
                <c:ptCount val="1"/>
                <c:pt idx="0">
                  <c:v>2019</c:v>
                </c:pt>
              </c:strCache>
            </c:strRef>
          </c:tx>
          <c:spPr>
            <a:ln w="25400">
              <a:noFill/>
            </a:ln>
            <a:effectLst/>
          </c:spPr>
          <c:marker>
            <c:symbol val="circle"/>
            <c:size val="6"/>
            <c:spPr>
              <a:solidFill>
                <a:srgbClr val="006BB6"/>
              </a:solidFill>
              <a:ln w="3175">
                <a:solidFill>
                  <a:srgbClr val="006BB6"/>
                </a:solidFill>
                <a:prstDash val="solid"/>
              </a:ln>
              <a:effectLst/>
            </c:spPr>
          </c:marker>
          <c:dPt>
            <c:idx val="13"/>
            <c:marker>
              <c:spPr>
                <a:solidFill>
                  <a:srgbClr val="D72B00"/>
                </a:solidFill>
                <a:ln w="3175">
                  <a:solidFill>
                    <a:srgbClr val="D72B00"/>
                  </a:solidFill>
                  <a:prstDash val="solid"/>
                </a:ln>
                <a:effectLst/>
              </c:spPr>
            </c:marker>
            <c:bubble3D val="0"/>
            <c:extLst xmlns:c16r2="http://schemas.microsoft.com/office/drawing/2015/06/chart">
              <c:ext xmlns:c16="http://schemas.microsoft.com/office/drawing/2014/chart" uri="{C3380CC4-5D6E-409C-BE32-E72D297353CC}">
                <c16:uniqueId val="{00000006-57F1-41EE-B96B-A8E1CF36609E}"/>
              </c:ext>
            </c:extLst>
          </c:dPt>
          <c:dPt>
            <c:idx val="26"/>
            <c:marker>
              <c:spPr>
                <a:solidFill>
                  <a:srgbClr val="D72B00"/>
                </a:solidFill>
                <a:ln w="3175">
                  <a:solidFill>
                    <a:srgbClr val="D72B00"/>
                  </a:solidFill>
                  <a:prstDash val="solid"/>
                </a:ln>
                <a:effectLst/>
              </c:spPr>
            </c:marker>
            <c:bubble3D val="0"/>
            <c:extLst xmlns:c16r2="http://schemas.microsoft.com/office/drawing/2015/06/chart">
              <c:ext xmlns:c16="http://schemas.microsoft.com/office/drawing/2014/chart" uri="{C3380CC4-5D6E-409C-BE32-E72D297353CC}">
                <c16:uniqueId val="{00000007-57F1-41EE-B96B-A8E1CF36609E}"/>
              </c:ext>
            </c:extLst>
          </c:dPt>
          <c:dLbls>
            <c:dLbl>
              <c:idx val="0"/>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10</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8-57F1-41EE-B96B-A8E1CF36609E}"/>
                </c:ext>
                <c:ext xmlns:c15="http://schemas.microsoft.com/office/drawing/2012/chart" uri="{CE6537A1-D6FC-4f65-9D91-7224C49458BB}"/>
              </c:extLst>
            </c:dLbl>
            <c:dLbl>
              <c:idx val="1"/>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11</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9-57F1-41EE-B96B-A8E1CF36609E}"/>
                </c:ext>
                <c:ext xmlns:c15="http://schemas.microsoft.com/office/drawing/2012/chart" uri="{CE6537A1-D6FC-4f65-9D91-7224C49458BB}"/>
              </c:extLst>
            </c:dLbl>
            <c:dLbl>
              <c:idx val="2"/>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14</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A-57F1-41EE-B96B-A8E1CF36609E}"/>
                </c:ext>
                <c:ext xmlns:c15="http://schemas.microsoft.com/office/drawing/2012/chart" uri="{CE6537A1-D6FC-4f65-9D91-7224C49458BB}"/>
              </c:extLst>
            </c:dLbl>
            <c:dLbl>
              <c:idx val="3"/>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14</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B-57F1-41EE-B96B-A8E1CF36609E}"/>
                </c:ext>
                <c:ext xmlns:c15="http://schemas.microsoft.com/office/drawing/2012/chart" uri="{CE6537A1-D6FC-4f65-9D91-7224C49458BB}"/>
              </c:extLst>
            </c:dLbl>
            <c:dLbl>
              <c:idx val="4"/>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14</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C-57F1-41EE-B96B-A8E1CF36609E}"/>
                </c:ext>
                <c:ext xmlns:c15="http://schemas.microsoft.com/office/drawing/2012/chart" uri="{CE6537A1-D6FC-4f65-9D91-7224C49458BB}"/>
              </c:extLst>
            </c:dLbl>
            <c:dLbl>
              <c:idx val="5"/>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15</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D-57F1-41EE-B96B-A8E1CF36609E}"/>
                </c:ext>
                <c:ext xmlns:c15="http://schemas.microsoft.com/office/drawing/2012/chart" uri="{CE6537A1-D6FC-4f65-9D91-7224C49458BB}"/>
              </c:extLst>
            </c:dLbl>
            <c:dLbl>
              <c:idx val="6"/>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15</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E-57F1-41EE-B96B-A8E1CF36609E}"/>
                </c:ext>
                <c:ext xmlns:c15="http://schemas.microsoft.com/office/drawing/2012/chart" uri="{CE6537A1-D6FC-4f65-9D91-7224C49458BB}"/>
              </c:extLst>
            </c:dLbl>
            <c:dLbl>
              <c:idx val="7"/>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17</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F-57F1-41EE-B96B-A8E1CF36609E}"/>
                </c:ext>
                <c:ext xmlns:c15="http://schemas.microsoft.com/office/drawing/2012/chart" uri="{CE6537A1-D6FC-4f65-9D91-7224C49458BB}"/>
              </c:extLst>
            </c:dLbl>
            <c:dLbl>
              <c:idx val="8"/>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19</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0-57F1-41EE-B96B-A8E1CF36609E}"/>
                </c:ext>
                <c:ext xmlns:c15="http://schemas.microsoft.com/office/drawing/2012/chart" uri="{CE6537A1-D6FC-4f65-9D91-7224C49458BB}"/>
              </c:extLst>
            </c:dLbl>
            <c:dLbl>
              <c:idx val="9"/>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20</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1-57F1-41EE-B96B-A8E1CF36609E}"/>
                </c:ext>
                <c:ext xmlns:c15="http://schemas.microsoft.com/office/drawing/2012/chart" uri="{CE6537A1-D6FC-4f65-9D91-7224C49458BB}"/>
              </c:extLst>
            </c:dLbl>
            <c:dLbl>
              <c:idx val="10"/>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20</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2-57F1-41EE-B96B-A8E1CF36609E}"/>
                </c:ext>
                <c:ext xmlns:c15="http://schemas.microsoft.com/office/drawing/2012/chart" uri="{CE6537A1-D6FC-4f65-9D91-7224C49458BB}"/>
              </c:extLst>
            </c:dLbl>
            <c:dLbl>
              <c:idx val="11"/>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21</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3-57F1-41EE-B96B-A8E1CF36609E}"/>
                </c:ext>
                <c:ext xmlns:c15="http://schemas.microsoft.com/office/drawing/2012/chart" uri="{CE6537A1-D6FC-4f65-9D91-7224C49458BB}"/>
              </c:extLst>
            </c:dLbl>
            <c:dLbl>
              <c:idx val="12"/>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21</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4-57F1-41EE-B96B-A8E1CF36609E}"/>
                </c:ext>
                <c:ext xmlns:c15="http://schemas.microsoft.com/office/drawing/2012/chart" uri="{CE6537A1-D6FC-4f65-9D91-7224C49458BB}"/>
              </c:extLst>
            </c:dLbl>
            <c:dLbl>
              <c:idx val="13"/>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21</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6-57F1-41EE-B96B-A8E1CF36609E}"/>
                </c:ext>
                <c:ext xmlns:c15="http://schemas.microsoft.com/office/drawing/2012/chart" uri="{CE6537A1-D6FC-4f65-9D91-7224C49458BB}"/>
              </c:extLst>
            </c:dLbl>
            <c:dLbl>
              <c:idx val="14"/>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22</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5-57F1-41EE-B96B-A8E1CF36609E}"/>
                </c:ext>
                <c:ext xmlns:c15="http://schemas.microsoft.com/office/drawing/2012/chart" uri="{CE6537A1-D6FC-4f65-9D91-7224C49458BB}"/>
              </c:extLst>
            </c:dLbl>
            <c:dLbl>
              <c:idx val="15"/>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22</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6-57F1-41EE-B96B-A8E1CF36609E}"/>
                </c:ext>
                <c:ext xmlns:c15="http://schemas.microsoft.com/office/drawing/2012/chart" uri="{CE6537A1-D6FC-4f65-9D91-7224C49458BB}"/>
              </c:extLst>
            </c:dLbl>
            <c:dLbl>
              <c:idx val="16"/>
              <c:layout>
                <c:manualLayout>
                  <c:x val="-3.9751539583796007E-2"/>
                  <c:y val="1.7370819708386571E-2"/>
                </c:manualLayout>
              </c:layout>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22</a:t>
                    </a:r>
                  </a:p>
                </c:rich>
              </c:tx>
              <c:spPr>
                <a:noFill/>
                <a:ln>
                  <a:noFill/>
                </a:ln>
                <a:effectLst/>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7-57F1-41EE-B96B-A8E1CF36609E}"/>
                </c:ext>
                <c:ext xmlns:c15="http://schemas.microsoft.com/office/drawing/2012/chart" uri="{CE6537A1-D6FC-4f65-9D91-7224C49458BB}"/>
              </c:extLst>
            </c:dLbl>
            <c:dLbl>
              <c:idx val="17"/>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23</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8-57F1-41EE-B96B-A8E1CF36609E}"/>
                </c:ext>
                <c:ext xmlns:c15="http://schemas.microsoft.com/office/drawing/2012/chart" uri="{CE6537A1-D6FC-4f65-9D91-7224C49458BB}"/>
              </c:extLst>
            </c:dLbl>
            <c:dLbl>
              <c:idx val="18"/>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23</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9-57F1-41EE-B96B-A8E1CF36609E}"/>
                </c:ext>
                <c:ext xmlns:c15="http://schemas.microsoft.com/office/drawing/2012/chart" uri="{CE6537A1-D6FC-4f65-9D91-7224C49458BB}"/>
              </c:extLst>
            </c:dLbl>
            <c:dLbl>
              <c:idx val="19"/>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24</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A-57F1-41EE-B96B-A8E1CF36609E}"/>
                </c:ext>
                <c:ext xmlns:c15="http://schemas.microsoft.com/office/drawing/2012/chart" uri="{CE6537A1-D6FC-4f65-9D91-7224C49458BB}"/>
              </c:extLst>
            </c:dLbl>
            <c:dLbl>
              <c:idx val="20"/>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28</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B-57F1-41EE-B96B-A8E1CF36609E}"/>
                </c:ext>
                <c:ext xmlns:c15="http://schemas.microsoft.com/office/drawing/2012/chart" uri="{CE6537A1-D6FC-4f65-9D91-7224C49458BB}"/>
              </c:extLst>
            </c:dLbl>
            <c:dLbl>
              <c:idx val="21"/>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29</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C-57F1-41EE-B96B-A8E1CF36609E}"/>
                </c:ext>
                <c:ext xmlns:c15="http://schemas.microsoft.com/office/drawing/2012/chart" uri="{CE6537A1-D6FC-4f65-9D91-7224C49458BB}"/>
              </c:extLst>
            </c:dLbl>
            <c:dLbl>
              <c:idx val="22"/>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29</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D-57F1-41EE-B96B-A8E1CF36609E}"/>
                </c:ext>
                <c:ext xmlns:c15="http://schemas.microsoft.com/office/drawing/2012/chart" uri="{CE6537A1-D6FC-4f65-9D91-7224C49458BB}"/>
              </c:extLst>
            </c:dLbl>
            <c:dLbl>
              <c:idx val="23"/>
              <c:layout>
                <c:manualLayout>
                  <c:x val="-2.5234865284605213E-2"/>
                  <c:y val="-3.0713394309906401E-2"/>
                </c:manualLayout>
              </c:layout>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31</a:t>
                    </a:r>
                  </a:p>
                </c:rich>
              </c:tx>
              <c:spPr>
                <a:noFill/>
                <a:ln>
                  <a:noFill/>
                </a:ln>
                <a:effectLst/>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E-57F1-41EE-B96B-A8E1CF36609E}"/>
                </c:ext>
                <c:ext xmlns:c15="http://schemas.microsoft.com/office/drawing/2012/chart" uri="{CE6537A1-D6FC-4f65-9D91-7224C49458BB}"/>
              </c:extLst>
            </c:dLbl>
            <c:dLbl>
              <c:idx val="24"/>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32</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F-57F1-41EE-B96B-A8E1CF36609E}"/>
                </c:ext>
                <c:ext xmlns:c15="http://schemas.microsoft.com/office/drawing/2012/chart" uri="{CE6537A1-D6FC-4f65-9D91-7224C49458BB}"/>
              </c:extLst>
            </c:dLbl>
            <c:dLbl>
              <c:idx val="25"/>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32</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20-57F1-41EE-B96B-A8E1CF36609E}"/>
                </c:ext>
                <c:ext xmlns:c15="http://schemas.microsoft.com/office/drawing/2012/chart" uri="{CE6537A1-D6FC-4f65-9D91-7224C49458BB}"/>
              </c:extLst>
            </c:dLbl>
            <c:dLbl>
              <c:idx val="26"/>
              <c:tx>
                <c:rich>
                  <a:bodyPr wrap="square" lIns="38100" tIns="19050" rIns="38100" bIns="19050" anchor="ctr">
                    <a:spAutoFit/>
                  </a:bodyPr>
                  <a:lstStyle/>
                  <a:p>
                    <a:pPr>
                      <a:defRPr sz="700" b="0" i="0">
                        <a:solidFill>
                          <a:srgbClr val="000000"/>
                        </a:solidFill>
                        <a:latin typeface="Arial Narrow" panose="020B0606020202030204" pitchFamily="34" charset="0"/>
                      </a:defRPr>
                    </a:pPr>
                    <a:endParaRPr lang="en-GB" sz="700" b="0" i="0">
                      <a:solidFill>
                        <a:srgbClr val="000000"/>
                      </a:solidFill>
                      <a:latin typeface="Arial Narrow" panose="020B0606020202030204" pitchFamily="34" charset="0"/>
                    </a:endParaRP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57F1-41EE-B96B-A8E1CF36609E}"/>
                </c:ext>
                <c:ext xmlns:c15="http://schemas.microsoft.com/office/drawing/2012/chart" uri="{CE6537A1-D6FC-4f65-9D91-7224C49458BB}"/>
              </c:extLst>
            </c:dLbl>
            <c:dLbl>
              <c:idx val="27"/>
              <c:layout>
                <c:manualLayout>
                  <c:x val="-2.1653743001369342E-2"/>
                  <c:y val="3.1101214928278546E-2"/>
                </c:manualLayout>
              </c:layout>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5</a:t>
                    </a:r>
                  </a:p>
                </c:rich>
              </c:tx>
              <c:spPr>
                <a:noFill/>
                <a:ln>
                  <a:noFill/>
                </a:ln>
                <a:effectLst/>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21-57F1-41EE-B96B-A8E1CF36609E}"/>
                </c:ext>
                <c:ext xmlns:c15="http://schemas.microsoft.com/office/drawing/2012/chart" uri="{CE6537A1-D6FC-4f65-9D91-7224C49458BB}"/>
              </c:extLst>
            </c:dLbl>
            <c:dLbl>
              <c:idx val="28"/>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10</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22-57F1-41EE-B96B-A8E1CF36609E}"/>
                </c:ext>
                <c:ext xmlns:c15="http://schemas.microsoft.com/office/drawing/2012/chart" uri="{CE6537A1-D6FC-4f65-9D91-7224C49458BB}"/>
              </c:extLst>
            </c:dLbl>
            <c:dLbl>
              <c:idx val="29"/>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13</a:t>
                    </a:r>
                  </a:p>
                </c:rich>
              </c:tx>
              <c:spPr>
                <a:noFill/>
                <a:ln>
                  <a:noFill/>
                </a:ln>
                <a:effectLst/>
              </c:spPr>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23-57F1-41EE-B96B-A8E1CF36609E}"/>
                </c:ext>
                <c:ext xmlns:c15="http://schemas.microsoft.com/office/drawing/2012/chart" uri="{CE6537A1-D6FC-4f65-9D91-7224C49458BB}"/>
              </c:extLst>
            </c:dLbl>
            <c:dLbl>
              <c:idx val="30"/>
              <c:layout>
                <c:manualLayout>
                  <c:x val="-2.6336720326373395E-2"/>
                  <c:y val="-3.3942572495247798E-2"/>
                </c:manualLayout>
              </c:layout>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16</a:t>
                    </a:r>
                  </a:p>
                </c:rich>
              </c:tx>
              <c:spPr>
                <a:noFill/>
                <a:ln>
                  <a:noFill/>
                </a:ln>
                <a:effectLst/>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24-57F1-41EE-B96B-A8E1CF36609E}"/>
                </c:ext>
                <c:ext xmlns:c15="http://schemas.microsoft.com/office/drawing/2012/chart" uri="{CE6537A1-D6FC-4f65-9D91-7224C49458BB}"/>
              </c:extLst>
            </c:dLbl>
            <c:dLbl>
              <c:idx val="31"/>
              <c:layout>
                <c:manualLayout>
                  <c:x val="-2.2803549382716191E-2"/>
                  <c:y val="-2.9329320987654391E-2"/>
                </c:manualLayout>
              </c:layout>
              <c:tx>
                <c:rich>
                  <a:bodyPr wrap="square" lIns="38100" tIns="19050" rIns="38100" bIns="19050" anchor="ctr">
                    <a:spAutoFit/>
                  </a:bodyPr>
                  <a:lstStyle/>
                  <a:p>
                    <a:pPr>
                      <a:defRPr sz="700" b="0" i="0">
                        <a:solidFill>
                          <a:srgbClr val="000000"/>
                        </a:solidFill>
                        <a:latin typeface="Arial Narrow" panose="020B0606020202030204" pitchFamily="34" charset="0"/>
                      </a:defRPr>
                    </a:pPr>
                    <a:r>
                      <a:rPr lang="en-US" sz="700" b="0" i="0">
                        <a:solidFill>
                          <a:srgbClr val="000000"/>
                        </a:solidFill>
                        <a:latin typeface="Arial Narrow" panose="020B0606020202030204" pitchFamily="34" charset="0"/>
                      </a:rPr>
                      <a:t>22</a:t>
                    </a:r>
                  </a:p>
                </c:rich>
              </c:tx>
              <c:spPr>
                <a:noFill/>
                <a:ln>
                  <a:noFill/>
                </a:ln>
                <a:effectLst/>
              </c:sp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5-57F1-41EE-B96B-A8E1CF36609E}"/>
                </c:ext>
                <c:ext xmlns:c15="http://schemas.microsoft.com/office/drawing/2012/chart" uri="{CE6537A1-D6FC-4f65-9D91-7224C49458BB}"/>
              </c:extLst>
            </c:dLbl>
            <c:spPr>
              <a:noFill/>
              <a:ln>
                <a:noFill/>
              </a:ln>
              <a:effectLst/>
            </c:spPr>
            <c:dLblPos val="b"/>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howDataLabelsRange val="1"/>
                <c15:showLeaderLines val="1"/>
              </c:ext>
            </c:extLst>
          </c:dLbls>
          <c:cat>
            <c:strRef>
              <c:f>'g4-1'!$A$29:$A$60</c:f>
              <c:strCache>
                <c:ptCount val="32"/>
                <c:pt idx="0">
                  <c:v>Malta</c:v>
                </c:pt>
                <c:pt idx="1">
                  <c:v>Sweden</c:v>
                </c:pt>
                <c:pt idx="2">
                  <c:v>Portugal</c:v>
                </c:pt>
                <c:pt idx="3">
                  <c:v>Cyprus</c:v>
                </c:pt>
                <c:pt idx="4">
                  <c:v>Ireland</c:v>
                </c:pt>
                <c:pt idx="5">
                  <c:v>Netherlands</c:v>
                </c:pt>
                <c:pt idx="6">
                  <c:v>Greece</c:v>
                </c:pt>
                <c:pt idx="7">
                  <c:v>Finland</c:v>
                </c:pt>
                <c:pt idx="8">
                  <c:v>Slovenia</c:v>
                </c:pt>
                <c:pt idx="9">
                  <c:v>Germany</c:v>
                </c:pt>
                <c:pt idx="10">
                  <c:v>Estonia</c:v>
                </c:pt>
                <c:pt idx="11">
                  <c:v>Spain</c:v>
                </c:pt>
                <c:pt idx="12">
                  <c:v>Lithuania</c:v>
                </c:pt>
                <c:pt idx="13">
                  <c:v>EU25</c:v>
                </c:pt>
                <c:pt idx="14">
                  <c:v>France</c:v>
                </c:pt>
                <c:pt idx="15">
                  <c:v>Poland</c:v>
                </c:pt>
                <c:pt idx="16">
                  <c:v>Denmark</c:v>
                </c:pt>
                <c:pt idx="17">
                  <c:v>Latvia</c:v>
                </c:pt>
                <c:pt idx="18">
                  <c:v>Austria</c:v>
                </c:pt>
                <c:pt idx="19">
                  <c:v>Czech Republic</c:v>
                </c:pt>
                <c:pt idx="20">
                  <c:v>Hungary</c:v>
                </c:pt>
                <c:pt idx="21">
                  <c:v>Croatia</c:v>
                </c:pt>
                <c:pt idx="22">
                  <c:v>Slovak Republic</c:v>
                </c:pt>
                <c:pt idx="23">
                  <c:v>Romania</c:v>
                </c:pt>
                <c:pt idx="24">
                  <c:v>Bulgaria</c:v>
                </c:pt>
                <c:pt idx="25">
                  <c:v>Italy</c:v>
                </c:pt>
                <c:pt idx="27">
                  <c:v>Iceland</c:v>
                </c:pt>
                <c:pt idx="28">
                  <c:v>Norway</c:v>
                </c:pt>
                <c:pt idx="29">
                  <c:v>Serbia</c:v>
                </c:pt>
                <c:pt idx="30">
                  <c:v>Montenegro</c:v>
                </c:pt>
                <c:pt idx="31">
                  <c:v>Ukraine</c:v>
                </c:pt>
              </c:strCache>
            </c:strRef>
          </c:cat>
          <c:val>
            <c:numRef>
              <c:f>'g4-1'!$D$29:$D$60</c:f>
              <c:numCache>
                <c:formatCode>0</c:formatCode>
                <c:ptCount val="32"/>
                <c:pt idx="0">
                  <c:v>10.483075911929017</c:v>
                </c:pt>
                <c:pt idx="1">
                  <c:v>11</c:v>
                </c:pt>
                <c:pt idx="2">
                  <c:v>14</c:v>
                </c:pt>
                <c:pt idx="3">
                  <c:v>14.250411861614499</c:v>
                </c:pt>
                <c:pt idx="4">
                  <c:v>14.329896907216494</c:v>
                </c:pt>
                <c:pt idx="5">
                  <c:v>15</c:v>
                </c:pt>
                <c:pt idx="6">
                  <c:v>15.046760187040748</c:v>
                </c:pt>
                <c:pt idx="7">
                  <c:v>17.327168648172613</c:v>
                </c:pt>
                <c:pt idx="8">
                  <c:v>19</c:v>
                </c:pt>
                <c:pt idx="9">
                  <c:v>19.739547635366687</c:v>
                </c:pt>
                <c:pt idx="10">
                  <c:v>19.841269841269842</c:v>
                </c:pt>
                <c:pt idx="11">
                  <c:v>21</c:v>
                </c:pt>
                <c:pt idx="12">
                  <c:v>21.103217718345174</c:v>
                </c:pt>
                <c:pt idx="13">
                  <c:v>21.13556255218581</c:v>
                </c:pt>
                <c:pt idx="14">
                  <c:v>21.561051004636784</c:v>
                </c:pt>
                <c:pt idx="15">
                  <c:v>22</c:v>
                </c:pt>
                <c:pt idx="16">
                  <c:v>22.43667068757539</c:v>
                </c:pt>
                <c:pt idx="17">
                  <c:v>22.566532993073277</c:v>
                </c:pt>
                <c:pt idx="18">
                  <c:v>23</c:v>
                </c:pt>
                <c:pt idx="19">
                  <c:v>23.550594166366583</c:v>
                </c:pt>
                <c:pt idx="20">
                  <c:v>28.152866242038215</c:v>
                </c:pt>
                <c:pt idx="21">
                  <c:v>29</c:v>
                </c:pt>
                <c:pt idx="22">
                  <c:v>29</c:v>
                </c:pt>
                <c:pt idx="23">
                  <c:v>31</c:v>
                </c:pt>
                <c:pt idx="24">
                  <c:v>32</c:v>
                </c:pt>
                <c:pt idx="25">
                  <c:v>32</c:v>
                </c:pt>
                <c:pt idx="27">
                  <c:v>5.0999999999999996</c:v>
                </c:pt>
                <c:pt idx="28">
                  <c:v>10</c:v>
                </c:pt>
                <c:pt idx="29">
                  <c:v>13</c:v>
                </c:pt>
                <c:pt idx="30">
                  <c:v>16</c:v>
                </c:pt>
                <c:pt idx="31">
                  <c:v>22</c:v>
                </c:pt>
              </c:numCache>
            </c:numRef>
          </c:val>
          <c:smooth val="0"/>
          <c:extLst xmlns:c16r2="http://schemas.microsoft.com/office/drawing/2015/06/chart">
            <c:ext xmlns:c16="http://schemas.microsoft.com/office/drawing/2014/chart" uri="{C3380CC4-5D6E-409C-BE32-E72D297353CC}">
              <c16:uniqueId val="{00000026-57F1-41EE-B96B-A8E1CF36609E}"/>
            </c:ext>
          </c:extLst>
        </c:ser>
        <c:dLbls>
          <c:showLegendKey val="0"/>
          <c:showVal val="0"/>
          <c:showCatName val="0"/>
          <c:showSerName val="0"/>
          <c:showPercent val="0"/>
          <c:showBubbleSize val="0"/>
        </c:dLbls>
        <c:hiLowLines>
          <c:spPr>
            <a:ln w="6350">
              <a:solidFill>
                <a:srgbClr val="000000"/>
              </a:solidFill>
            </a:ln>
          </c:spPr>
        </c:hiLowLines>
        <c:marker val="1"/>
        <c:smooth val="0"/>
        <c:axId val="1071579680"/>
        <c:axId val="1071584576"/>
      </c:lineChart>
      <c:catAx>
        <c:axId val="1071579680"/>
        <c:scaling>
          <c:orientation val="minMax"/>
        </c:scaling>
        <c:delete val="0"/>
        <c:axPos val="b"/>
        <c:majorGridlines>
          <c:spPr>
            <a:ln w="9525" cmpd="sng">
              <a:solidFill>
                <a:srgbClr val="FFFFFF"/>
              </a:solidFill>
              <a:prstDash val="solid"/>
            </a:ln>
          </c:spPr>
        </c:majorGridlines>
        <c:numFmt formatCode="General" sourceLinked="1"/>
        <c:majorTickMark val="in"/>
        <c:minorTickMark val="none"/>
        <c:tickLblPos val="low"/>
        <c:spPr>
          <a:noFill/>
          <a:ln w="9525">
            <a:solidFill>
              <a:srgbClr val="000000"/>
            </a:solidFill>
            <a:prstDash val="solid"/>
          </a:ln>
          <a:extLst>
            <a:ext uri="{909E8E84-426E-40DD-AFC4-6F175D3DCCD1}">
              <a14:hiddenFill xmlns:a14="http://schemas.microsoft.com/office/drawing/2010/main">
                <a:noFill/>
              </a14:hiddenFill>
            </a:ext>
          </a:extLst>
        </c:spPr>
        <c:txPr>
          <a:bodyPr rot="-2700000" vert="horz"/>
          <a:lstStyle/>
          <a:p>
            <a:pPr>
              <a:defRPr sz="750" b="0" i="0" u="none" strike="noStrike" baseline="0">
                <a:solidFill>
                  <a:srgbClr val="000000"/>
                </a:solidFill>
                <a:latin typeface="Arial Narrow"/>
                <a:ea typeface="Arial Narrow"/>
                <a:cs typeface="Arial Narrow"/>
              </a:defRPr>
            </a:pPr>
            <a:endParaRPr lang="en-US"/>
          </a:p>
        </c:txPr>
        <c:crossAx val="1071584576"/>
        <c:crosses val="autoZero"/>
        <c:auto val="1"/>
        <c:lblAlgn val="ctr"/>
        <c:lblOffset val="0"/>
        <c:tickLblSkip val="1"/>
        <c:noMultiLvlLbl val="0"/>
      </c:catAx>
      <c:valAx>
        <c:axId val="1071584576"/>
        <c:scaling>
          <c:orientation val="minMax"/>
        </c:scaling>
        <c:delete val="0"/>
        <c:axPos val="l"/>
        <c:majorGridlines>
          <c:spPr>
            <a:ln w="9525" cmpd="sng">
              <a:solidFill>
                <a:srgbClr val="FFFFFF"/>
              </a:solidFill>
              <a:prstDash val="solid"/>
            </a:ln>
          </c:spPr>
        </c:majorGridlines>
        <c:numFmt formatCode="General" sourceLinked="0"/>
        <c:majorTickMark val="in"/>
        <c:minorTickMark val="none"/>
        <c:tickLblPos val="nextTo"/>
        <c:spPr>
          <a:noFill/>
          <a:ln w="9525">
            <a:solidFill>
              <a:srgbClr val="000000"/>
            </a:solidFill>
            <a:prstDash val="solid"/>
          </a:ln>
          <a:extLst>
            <a:ext uri="{909E8E84-426E-40DD-AFC4-6F175D3DCCD1}">
              <a14:hiddenFill xmlns:a14="http://schemas.microsoft.com/office/drawing/2010/main">
                <a:noFill/>
              </a14:hiddenFill>
            </a:ext>
          </a:extLst>
        </c:spPr>
        <c:txPr>
          <a:bodyPr rot="-60000000" vert="horz"/>
          <a:lstStyle/>
          <a:p>
            <a:pPr>
              <a:defRPr sz="750" b="0" i="0" u="none" strike="noStrike" baseline="0">
                <a:solidFill>
                  <a:srgbClr val="000000"/>
                </a:solidFill>
                <a:latin typeface="Arial Narrow"/>
                <a:ea typeface="Arial Narrow"/>
                <a:cs typeface="Arial Narrow"/>
              </a:defRPr>
            </a:pPr>
            <a:endParaRPr lang="en-US"/>
          </a:p>
        </c:txPr>
        <c:crossAx val="1071579680"/>
        <c:crosses val="autoZero"/>
        <c:crossBetween val="between"/>
      </c:valAx>
      <c:spPr>
        <a:solidFill>
          <a:srgbClr val="EAEAEA"/>
        </a:solidFill>
        <a:ln w="9525">
          <a:noFill/>
        </a:ln>
        <a:effectLst/>
        <a:extLst>
          <a:ext uri="{91240B29-F687-4F45-9708-019B960494DF}">
            <a14:hiddenLine xmlns:a14="http://schemas.microsoft.com/office/drawing/2010/main" w="9525">
              <a:solidFill>
                <a:srgbClr val="000000"/>
              </a:solidFill>
            </a14:hiddenLine>
          </a:ext>
        </a:extLst>
      </c:spPr>
    </c:plotArea>
    <c:legend>
      <c:legendPos val="r"/>
      <c:layout>
        <c:manualLayout>
          <c:xMode val="edge"/>
          <c:yMode val="edge"/>
          <c:x val="3.7212131514069442E-2"/>
          <c:y val="1.4924908320518869E-2"/>
          <c:w val="0.95263950012841714"/>
          <c:h val="5.5968406201945764E-2"/>
        </c:manualLayout>
      </c:layout>
      <c:overlay val="1"/>
      <c:spPr>
        <a:solidFill>
          <a:srgbClr val="EAEAEA"/>
        </a:solidFill>
        <a:ln>
          <a:noFill/>
        </a:ln>
        <a:effectLst/>
        <a:extLst>
          <a:ext uri="{91240B29-F687-4F45-9708-019B960494DF}">
            <a14:hiddenLine xmlns:a14="http://schemas.microsoft.com/office/drawing/2010/main">
              <a:noFill/>
            </a14:hiddenLine>
          </a:ext>
        </a:extLst>
      </c:spPr>
      <c:txPr>
        <a:bodyPr/>
        <a:lstStyle/>
        <a:p>
          <a:pPr>
            <a:defRPr sz="750" b="0" i="0">
              <a:solidFill>
                <a:srgbClr val="000000"/>
              </a:solidFill>
              <a:latin typeface="Arial Narrow"/>
              <a:ea typeface="Arial Narrow"/>
              <a:cs typeface="Arial Narrow"/>
            </a:defRPr>
          </a:pPr>
          <a:endParaRPr lang="en-US"/>
        </a:p>
      </c:txPr>
    </c:legend>
    <c:plotVisOnly val="1"/>
    <c:dispBlanksAs val="gap"/>
    <c:showDLblsOverMax val="1"/>
  </c:chart>
  <c:spPr>
    <a:noFill/>
    <a:ln w="9525" cap="flat" cmpd="sng" algn="ctr">
      <a:noFill/>
      <a:prstDash val="solid"/>
      <a:round/>
    </a:ln>
    <a:effectLst/>
    <a:extLst>
      <a:ext uri="{909E8E84-426E-40DD-AFC4-6F175D3DCCD1}">
        <a14:hiddenFill xmlns:a14="http://schemas.microsoft.com/office/drawing/2010/main">
          <a:solidFill>
            <a:sysClr val="window" lastClr="FFFFFF"/>
          </a:solidFill>
        </a14:hiddenFill>
      </a:ex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0.02083</cdr:x>
      <cdr:y>0.8559</cdr:y>
    </cdr:from>
    <cdr:to>
      <cdr:x>0.06875</cdr:x>
      <cdr:y>1</cdr:y>
    </cdr:to>
    <cdr:sp macro="" textlink="">
      <cdr:nvSpPr>
        <cdr:cNvPr id="2" name="TextBox 1"/>
        <cdr:cNvSpPr txBox="1"/>
      </cdr:nvSpPr>
      <cdr:spPr>
        <a:xfrm xmlns:a="http://schemas.openxmlformats.org/drawingml/2006/main">
          <a:off x="95250" y="2347912"/>
          <a:ext cx="219075" cy="39528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cdr:x>
      <cdr:y>0.87326</cdr:y>
    </cdr:from>
    <cdr:to>
      <cdr:x>0.06042</cdr:x>
      <cdr:y>1</cdr:y>
    </cdr:to>
    <cdr:sp macro="" textlink="">
      <cdr:nvSpPr>
        <cdr:cNvPr id="3" name="TextBox 2"/>
        <cdr:cNvSpPr txBox="1"/>
      </cdr:nvSpPr>
      <cdr:spPr>
        <a:xfrm xmlns:a="http://schemas.openxmlformats.org/drawingml/2006/main">
          <a:off x="0" y="2395538"/>
          <a:ext cx="276225" cy="34766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100"/>
            <a:t>%</a:t>
          </a:r>
        </a:p>
      </cdr:txBody>
    </cdr:sp>
  </cdr:relSizeAnchor>
</c:userShapes>
</file>

<file path=word/drawings/drawing2.xml><?xml version="1.0" encoding="utf-8"?>
<c:userShapes xmlns:c="http://schemas.openxmlformats.org/drawingml/2006/chart">
  <cdr:relSizeAnchor xmlns:cdr="http://schemas.openxmlformats.org/drawingml/2006/chartDrawing">
    <cdr:from>
      <cdr:x>0.00486</cdr:x>
      <cdr:y>0.78588</cdr:y>
    </cdr:from>
    <cdr:to>
      <cdr:x>0.06528</cdr:x>
      <cdr:y>0.91262</cdr:y>
    </cdr:to>
    <cdr:sp macro="" textlink="">
      <cdr:nvSpPr>
        <cdr:cNvPr id="2" name="TextBox 1"/>
        <cdr:cNvSpPr txBox="1"/>
      </cdr:nvSpPr>
      <cdr:spPr>
        <a:xfrm xmlns:a="http://schemas.openxmlformats.org/drawingml/2006/main">
          <a:off x="22225" y="2155825"/>
          <a:ext cx="276225" cy="34766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t>%</a:t>
          </a:r>
        </a:p>
      </cdr:txBody>
    </cdr:sp>
  </cdr:relSizeAnchor>
</c:userShapes>
</file>

<file path=word/drawings/drawing3.xml><?xml version="1.0" encoding="utf-8"?>
<c:userShapes xmlns:c="http://schemas.openxmlformats.org/drawingml/2006/chart">
  <cdr:relSizeAnchor xmlns:cdr="http://schemas.openxmlformats.org/drawingml/2006/chartDrawing">
    <cdr:from>
      <cdr:x>0.03069</cdr:x>
      <cdr:y>0.06312</cdr:y>
    </cdr:from>
    <cdr:to>
      <cdr:x>0.66478</cdr:x>
      <cdr:y>0.13185</cdr:y>
    </cdr:to>
    <cdr:sp macro="" textlink="">
      <cdr:nvSpPr>
        <cdr:cNvPr id="24" name="TextBox 23"/>
        <cdr:cNvSpPr txBox="1"/>
      </cdr:nvSpPr>
      <cdr:spPr>
        <a:xfrm xmlns:a="http://schemas.openxmlformats.org/drawingml/2006/main">
          <a:off x="190365" y="236165"/>
          <a:ext cx="3933057" cy="2571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rtl="0" eaLnBrk="1" fontAlgn="auto" latinLnBrk="0" hangingPunct="1">
            <a:lnSpc>
              <a:spcPct val="100000"/>
            </a:lnSpc>
            <a:spcBef>
              <a:spcPts val="0"/>
            </a:spcBef>
            <a:spcAft>
              <a:spcPts val="0"/>
            </a:spcAft>
            <a:buClrTx/>
            <a:buSzTx/>
            <a:buFontTx/>
            <a:buNone/>
            <a:tabLst/>
            <a:defRPr/>
          </a:pPr>
          <a:r>
            <a:rPr lang="en-GB" sz="750" b="0" i="0" baseline="0">
              <a:solidFill>
                <a:srgbClr val="000000"/>
              </a:solidFill>
              <a:effectLst/>
              <a:latin typeface="Arial Narrow" panose="020B0606020202030204" pitchFamily="34" charset="0"/>
              <a:ea typeface="+mn-ea"/>
              <a:cs typeface="+mn-cs"/>
            </a:rPr>
            <a:t>% </a:t>
          </a:r>
          <a:r>
            <a:rPr lang="ro-RO" sz="750" b="0" i="0" baseline="0">
              <a:solidFill>
                <a:srgbClr val="000000"/>
              </a:solidFill>
              <a:effectLst/>
              <a:latin typeface="Arial Narrow" panose="020B0606020202030204" pitchFamily="34" charset="0"/>
              <a:ea typeface="+mn-ea"/>
              <a:cs typeface="+mn-cs"/>
            </a:rPr>
            <a:t>adolescenților de</a:t>
          </a:r>
          <a:r>
            <a:rPr lang="en-GB" sz="750" b="0" i="0" baseline="0">
              <a:solidFill>
                <a:srgbClr val="000000"/>
              </a:solidFill>
              <a:effectLst/>
              <a:latin typeface="Arial Narrow" panose="020B0606020202030204" pitchFamily="34" charset="0"/>
              <a:ea typeface="+mn-ea"/>
              <a:cs typeface="+mn-cs"/>
            </a:rPr>
            <a:t> 15-16 </a:t>
          </a:r>
          <a:r>
            <a:rPr lang="ro-RO" sz="750" b="0" i="0" baseline="0">
              <a:solidFill>
                <a:srgbClr val="000000"/>
              </a:solidFill>
              <a:effectLst/>
              <a:latin typeface="Arial Narrow" panose="020B0606020202030204" pitchFamily="34" charset="0"/>
              <a:ea typeface="+mn-ea"/>
              <a:cs typeface="+mn-cs"/>
            </a:rPr>
            <a:t>care au spus că au fumat cel puțin o țigară în ultimele 30 de zile</a:t>
          </a:r>
          <a:endParaRPr lang="en-GB" sz="750" b="0" i="0">
            <a:solidFill>
              <a:srgbClr val="000000"/>
            </a:solidFill>
            <a:effectLst/>
            <a:latin typeface="Arial Narrow" panose="020B0606020202030204" pitchFamily="34" charset="0"/>
          </a:endParaRPr>
        </a:p>
        <a:p xmlns:a="http://schemas.openxmlformats.org/drawingml/2006/main">
          <a:endParaRPr lang="en-GB" sz="750" b="0" i="0">
            <a:solidFill>
              <a:srgbClr val="000000"/>
            </a:solidFill>
            <a:latin typeface="Arial Narrow" panose="020B060602020203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The21</b:Tag>
    <b:SourceType>Report</b:SourceType>
    <b:Guid>{F11C52C3-B147-45A5-A17C-F52D9A9E6625}</b:Guid>
    <b:Title>The Lancet&amp;The lancet Public Health: Latest global Data finds nearly 8 million deaths from smoking in 2019, and 90% of new smokers addicted by age 25</b:Title>
    <b:Year>2021</b:Year>
    <b:StandardNumber>https://www.healthdata.org/news-release/lancet-lancet-public-health-latest-global-data-finds-nearly-8-million-deaths-smoking</b:StandardNumber>
    <b:Author>
      <b:Author>
        <b:Corporate>The Institute for Health Metrics and Evaluation (IHME) </b:Corporate>
      </b:Author>
    </b:Author>
    <b:RefOrder>3</b:RefOrder>
  </b:Source>
  <b:Source>
    <b:Tag>Vit22</b:Tag>
    <b:SourceType>Report</b:SourceType>
    <b:Guid>{66DE9BDB-344B-4A35-BBB6-9ABBE837D1F3}</b:Guid>
    <b:Author>
      <b:Author>
        <b:Corporate>Vital Strategies and Tobacconomics at the University of Illinois Chicago</b:Corporate>
      </b:Author>
    </b:Author>
    <b:Title>Health Effects | Tobacco Atlas. </b:Title>
    <b:Year>2021, Last updated: May 2022</b:Year>
    <b:City>https://tobaccoatlas.org/challenges/health-effects/, Health Effects | Tobacco Atlas. </b:City>
    <b:RefOrder>1</b:RefOrder>
  </b:Source>
  <b:Source>
    <b:Tag>Eur22</b:Tag>
    <b:SourceType>InternetSite</b:SourceType>
    <b:Guid>{4A4F2441-3D14-4816-B1D3-B00F0DFF71A0}</b:Guid>
    <b:Author>
      <b:Author>
        <b:Corporate>European Commission</b:Corporate>
      </b:Author>
    </b:Author>
    <b:Title>Public health-Tobacco-Overview</b:Title>
    <b:Year>2022</b:Year>
    <b:InternetSiteTitle>European Commission- Public Health</b:InternetSiteTitle>
    <b:Month>April</b:Month>
    <b:Day>08</b:Day>
    <b:URL>https://health.ec.europa.eu/tobacco/overview_en</b:URL>
    <b:RefOrder>2</b:RefOrder>
  </b:Source>
  <b:Source>
    <b:Tag>202</b:Tag>
    <b:SourceType>Book</b:SourceType>
    <b:Guid>{850CE921-9CC5-4CA0-B9C6-FCBA0D5B3973}</b:Guid>
    <b:Author>
      <b:Author>
        <b:Corporate>OECD  </b:Corporate>
      </b:Author>
    </b:Author>
    <b:Title>Profil de țară privind cancerul: România 2023, EU Country Cancer Profiles, OECD Publishing</b:Title>
    <b:Year>2023</b:Year>
    <b:City>Paris</b:City>
    <b:Publisher>, https://doi.org/10.1787/20726aa6-ro</b:Publisher>
    <b:RefOrder>5</b:RefOrder>
  </b:Source>
  <b:Source>
    <b:Tag>Rei21</b:Tag>
    <b:SourceType>JournalArticle</b:SourceType>
    <b:Guid>{B59CDCE8-87B4-436B-A636-BB9D7C29C9FE}</b:Guid>
    <b:Title>Spatial, temporal, and demographic patterns in prevalence of smoking tobacco use and initiation among young people in 204 countries and territories, 1990-2019</b:Title>
    <b:Year>2021</b:Year>
    <b:Author>
      <b:Author>
        <b:NameList>
          <b:Person>
            <b:Last>Reitsma MB</b:Last>
            <b:First>Flor</b:First>
            <b:Middle>LS, Mullany EC, Gupta V, Hay SI, Gakidou E.</b:Middle>
          </b:Person>
        </b:NameList>
      </b:Author>
    </b:Author>
    <b:JournalName> Lancet Public Health. 2021 Jul;6(7</b:JournalName>
    <b:Pages>6(7):e472-e481. doi: 10.1016/S2468-2667(21)00102-X. Epub 2021 May 28. PMID: 34051921; PMCID: PMC8251503.</b:Pages>
    <b:RefOrder>26</b:RefOrder>
  </b:Source>
  <b:Source>
    <b:Tag>htt</b:Tag>
    <b:SourceType>InternetSite</b:SourceType>
    <b:Guid>{78F9C66C-7527-4412-B430-2B4162B06751}</b:Guid>
    <b:Author>
      <b:Author>
        <b:Corporate>International Agency for Research on Cancer, World Health Organization</b:Corporate>
      </b:Author>
    </b:Author>
    <b:Title>Codul European Impotriva Cancerului</b:Title>
    <b:Year>2023</b:Year>
    <b:InternetSiteTitle>Poate tutunul s[ cauzeze cancer? C\t la sut[ dintre cazurile de cancer sunt cauzate de fumat</b:InternetSiteTitle>
    <b:Month>April</b:Month>
    <b:Day>10</b:Day>
    <b:URL>https://cancer-code-europe.iarc.fr/index.php/ro/12-modalitati/tutun/3307-poate-tutunul-sa-cauzeze-cancer-cat-la-suta-dintre-cazurile-de-cancer-sunt-cauzate-de-fumat</b:URL>
    <b:RefOrder>9</b:RefOrder>
  </b:Source>
  <b:Source>
    <b:Tag>The23</b:Tag>
    <b:SourceType>InternetSite</b:SourceType>
    <b:Guid>{6E17A4AB-DAE0-4B30-99D7-ED5F0A9DD828}</b:Guid>
    <b:Title>The Tobacco Atlas</b:Title>
    <b:InternetSiteTitle>Challenge - Health Effects</b:InternetSiteTitle>
    <b:Year>2023</b:Year>
    <b:Month>April</b:Month>
    <b:Day>10</b:Day>
    <b:URL>https://tobaccoatlas.org/challenges/health-effects/</b:URL>
    <b:RefOrder>16</b:RefOrder>
  </b:Source>
  <b:Source>
    <b:Tag>Wor19</b:Tag>
    <b:SourceType>Report</b:SourceType>
    <b:Guid>{BEE3DF0C-4630-4A61-AA2D-723B66267309}</b:Guid>
    <b:Author>
      <b:Author>
        <b:Corporate>World Health Organization -Regional Office for Europe</b:Corporate>
      </b:Author>
    </b:Author>
    <b:Title>European Tobacco use- Trends Report 2019</b:Title>
    <b:Year>2019</b:Year>
    <b:URL>https://www.euro.who.int/__data/assets/pdf_file/0009/402777/Tobacco-Trends-Report-ENG-WEB.pdf</b:URL>
    <b:Publisher>WHO Regional Office for Europe</b:Publisher>
    <b:City>Copenhagen</b:City>
    <b:RefOrder>8</b:RefOrder>
  </b:Source>
  <b:Source>
    <b:Tag>Ame18</b:Tag>
    <b:SourceType>InternetSite</b:SourceType>
    <b:Guid>{B34C1B3E-A777-4BC9-A0FF-3A3B9FD75579}</b:Guid>
    <b:Title>Health effects</b:Title>
    <b:Year>2018</b:Year>
    <b:Author>
      <b:Author>
        <b:Corporate>American Cancer Society and Vital Strategies</b:Corporate>
      </b:Author>
    </b:Author>
    <b:InternetSiteTitle>The tobacco atlas</b:InternetSiteTitle>
    <b:RefOrder>7</b:RefOrder>
  </b:Source>
  <b:Source>
    <b:Tag>Wor23</b:Tag>
    <b:SourceType>InternetSite</b:SourceType>
    <b:Guid>{C4B47F02-E37B-4CD1-8870-3DDC754C7ECC}</b:Guid>
    <b:Author>
      <b:Author>
        <b:Corporate>World Health Organization</b:Corporate>
      </b:Author>
    </b:Author>
    <b:Title>Tobacco - Overview</b:Title>
    <b:InternetSiteTitle>Health Topics</b:InternetSiteTitle>
    <b:Year>2023</b:Year>
    <b:Month>April</b:Month>
    <b:Day>11</b:Day>
    <b:URL>https://www.who.int/health-topics/tobacco#tab=tab_1</b:URL>
    <b:RefOrder>11</b:RefOrder>
  </b:Source>
  <b:Source>
    <b:Tag>Rei211</b:Tag>
    <b:SourceType>JournalArticle</b:SourceType>
    <b:Guid>{29D7FF70-2277-410E-B1B2-1AF5401C62BC}</b:Guid>
    <b:Title>Spatial, temporal, and demographic patterns in prevalence of smoking tobacco use and initiation among young people in 204 countries and territories, 1990–2019.  publish</b:Title>
    <b:Year>2021</b:Year>
    <b:URL>https://www.healthdata.org/infographic/preventing-new-smokers-key-controlling-tobacco-epidemic: Institute of Health Metrics and Evaluation</b:URL>
    <b:Author>
      <b:Author>
        <b:NameList>
          <b:Person>
            <b:Last>Reitsma MB</b:Last>
            <b:First>Flor</b:First>
            <b:Middle>LS, Mullany EC, Gupta V, Hay SI, Gakidou E.</b:Middle>
          </b:Person>
        </b:NameList>
      </b:Author>
    </b:Author>
    <b:JournalName>Lancet Public Health</b:JournalName>
    <b:RefOrder>21</b:RefOrder>
  </b:Source>
  <b:Source>
    <b:Tag>OECis</b:Tag>
    <b:SourceType>Report</b:SourceType>
    <b:Guid>{05813822-C91F-4384-9BF1-7AEA00F2020F}</b:Guid>
    <b:Author>
      <b:Author>
        <b:Corporate>OECD/European Union</b:Corporate>
      </b:Author>
    </b:Author>
    <b:Title>Health at a Glance:Europe 2022:State of Health in the EU Cycle</b:Title>
    <b:Year>Paris</b:Year>
    <b:Publisher>OECD Publishing</b:Publisher>
    <b:City>Paris</b:City>
    <b:RefOrder>4</b:RefOrder>
  </b:Source>
  <b:Source>
    <b:Tag>Ins23</b:Tag>
    <b:SourceType>InternetSite</b:SourceType>
    <b:Guid>{29CB6927-8CCB-4524-A7DB-EA103A5CB43F}</b:Guid>
    <b:Title>European School Survey Project on Alcohol and Other Drugs</b:Title>
    <b:Year>2023</b:Year>
    <b:Author>
      <b:Author>
        <b:Corporate>Institute of Clinical Physiology, National Research Council of Italy</b:Corporate>
      </b:Author>
    </b:Author>
    <b:InternetSiteTitle>ESPAD</b:InternetSiteTitle>
    <b:Month>April</b:Month>
    <b:Day>12</b:Day>
    <b:URL>https://data.espad.org/</b:URL>
    <b:RefOrder>22</b:RefOrder>
  </b:Source>
  <b:Source>
    <b:Tag>Ins231</b:Tag>
    <b:SourceType>InternetSite</b:SourceType>
    <b:Guid>{0327441E-B8E2-42A7-926C-A15ED72A278B}</b:Guid>
    <b:Author>
      <b:Author>
        <b:Corporate>Institute of Clinical Physiology, National Research Council of Italy</b:Corporate>
      </b:Author>
    </b:Author>
    <b:Title>Overview of Cigarettes in 2019 in Romania </b:Title>
    <b:InternetSiteTitle>European School Survey Project on Alcohol and Other Drugs - prevalence in lifetime</b:InternetSiteTitle>
    <b:Year>2023</b:Year>
    <b:Month>April</b:Month>
    <b:Day>12</b:Day>
    <b:URL>https://data.espad.org/</b:URL>
    <b:RefOrder>24</b:RefOrder>
  </b:Source>
  <b:Source>
    <b:Tag>eilct</b:Tag>
    <b:SourceType>JournalArticle</b:SourceType>
    <b:Guid>{4FFE00AF-C350-4B7B-AE8F-2281D58583B5}</b:Guid>
    <b:Title>eiler-Ramadas R, Sandner I, Haider S, Grabovac I, Dorner TE. Health effects of electronic cigarette (e‑cigarette) use on organ systems and its implications for public health. Wien Klin Wochenschr. 2021 Oct;133(19-20):1020-1027. doi: 10.1007/s00508-020-017</b:Title>
    <b:Year>2021 Oct</b:Year>
    <b:Author>
      <b:Author>
        <b:NameList>
          <b:Person>
            <b:Last>Seiler-Ramadas R</b:Last>
            <b:First>Sandner</b:First>
            <b:Middle>I, Haider S, Grabovac I, Dorner TE.</b:Middle>
          </b:Person>
        </b:NameList>
      </b:Author>
    </b:Author>
    <b:JournalName>Wien Klin Wochenschr.</b:JournalName>
    <b:Pages>133(19-20):1020-1027. doi: 10.1007/s00508-020-017</b:Pages>
    <b:RefOrder>19</b:RefOrder>
  </b:Source>
  <b:Source>
    <b:Tag>Bha19</b:Tag>
    <b:SourceType>JournalArticle</b:SourceType>
    <b:Guid>{EDA0185D-01A4-45F6-8870-CF85C1B4C334}</b:Guid>
    <b:Author>
      <b:Author>
        <b:NameList>
          <b:Person>
            <b:Last>Bhalerao A</b:Last>
            <b:First>Sivandzade</b:First>
            <b:Middle>F, Archie SR, Cucullo L.</b:Middle>
          </b:Person>
        </b:NameList>
      </b:Author>
    </b:Author>
    <b:Title>Public Health Policies on E-Cigarettes. </b:Title>
    <b:JournalName>Curr Cardiol Rep</b:JournalName>
    <b:Year>2019</b:Year>
    <b:Pages>Bhalerao A, Sivandzade F, Archie SR, Cucullo L. Public Healt21(10):111. doi: 10.1007/s11886-019-1204-y. PMID: 31463564; PMCID: PMC6713696.</b:Pages>
    <b:RefOrder>20</b:RefOrder>
  </b:Source>
  <b:Source>
    <b:Tag>Gioov</b:Tag>
    <b:SourceType>JournalArticle</b:SourceType>
    <b:Guid>{7EA415CF-603D-4CC6-A601-F0497DAD384B}</b:Guid>
    <b:Author>
      <b:Author>
        <b:NameList>
          <b:Person>
            <b:Last>Giovacchini CX</b:Last>
            <b:First>Crotty</b:First>
            <b:Middle>Alexander LE, Que LG.</b:Middle>
          </b:Person>
        </b:NameList>
      </b:Author>
    </b:Author>
    <b:Title>Electronic Cigarettes: A Pro-Con Review of the Current Literature. </b:Title>
    <b:JournalName>J Allergy Clin Immunol Pract</b:JournalName>
    <b:Year>2022 Nov</b:Year>
    <b:Pages>Giovacchini CX, Crotty Alexander LE, Que LG. Electronic Cigarettes: A Pro-Con Review of the Curre10(11):2843-2851. doi: 10.1016/j.jaip.2022.07.009. Epub 2022 Jul 21. PMID: 35872217.</b:Pages>
    <b:RefOrder>17</b:RefOrder>
  </b:Source>
  <b:Source>
    <b:Tag>Zny21</b:Tag>
    <b:SourceType>JournalArticle</b:SourceType>
    <b:Guid>{83F74EC9-6B7F-488D-92B6-15D80B754DAA}</b:Guid>
    <b:Author>
      <b:Author>
        <b:NameList>
          <b:Person>
            <b:Last>Znyk M</b:Last>
            <b:First>Jurewicz</b:First>
            <b:Middle>J, Kaleta D</b:Middle>
          </b:Person>
        </b:NameList>
      </b:Author>
    </b:Author>
    <b:Title>Exposure to Heated Tobacco Products and Adverse Health Effects, a Systematic Review</b:Title>
    <b:JournalName>Int J Environ Res Public Health</b:JournalName>
    <b:Year>2021 Jun 21</b:Year>
    <b:Pages>Znyk M, Jurewicz J, Kaleta D. Exposure to Heated Tobacco Products and Adverse Health Effects, a Systemati18(12):6651. doi: 10.3390/ijerph18126651. PMID: 34205612; PMCID: PMC8296358.</b:Pages>
    <b:RefOrder>12</b:RefOrder>
  </b:Source>
  <b:Source>
    <b:Tag>Hik11</b:Tag>
    <b:SourceType>JournalArticle</b:SourceType>
    <b:Guid>{575A9903-F658-4F7F-98D4-C3952D33B0A3}</b:Guid>
    <b:Author>
      <b:Author>
        <b:NameList>
          <b:Person>
            <b:Last>Hikisz P</b:Last>
            <b:First>Jacenik</b:First>
            <b:Middle>D.</b:Middle>
          </b:Person>
        </b:NameList>
      </b:Author>
    </b:Author>
    <b:Title>The Tobacco Smoke Component, Acrolein, as a Major Culprit in Lung Diseases and Respiratory Cancers: Molecular Mechanisms of Acrolein Cytotoxic Activity</b:Title>
    <b:JournalName>Cells.</b:JournalName>
    <b:Year>2023 Mar 11</b:Year>
    <b:Pages>12(6):879. doi: 10.3390/cells12060879. PMID: 36980220; PMCID: PMC10047238</b:Pages>
    <b:RefOrder>13</b:RefOrder>
  </b:Source>
  <b:Source>
    <b:Tag>Fric1</b:Tag>
    <b:SourceType>JournalArticle</b:SourceType>
    <b:Guid>{92AE0A15-EC87-4050-9ADF-8237FFB14E96}</b:Guid>
    <b:Author>
      <b:Author>
        <b:NameList>
          <b:Person>
            <b:Last>Fried ND</b:Last>
            <b:First>Gardner</b:First>
            <b:Middle>JD.</b:Middle>
          </b:Person>
        </b:NameList>
      </b:Author>
    </b:Author>
    <b:Title>Heat-not-burn tobacco products: an emerging threat to cardiovascular health</b:Title>
    <b:JournalName>Am J Physiol Heart Circ Physiol</b:JournalName>
    <b:Year>2020 Dec 1</b:Year>
    <b:Pages>319(6):H1234-H1239. doi: 10.1152/ajpheart.00708.2020. Epub 2020 Oct 2. PMID: 33006919; PMCID: PMC7792702</b:Pages>
    <b:RefOrder>10</b:RefOrder>
  </b:Source>
  <b:Source>
    <b:Tag>Ricer</b:Tag>
    <b:SourceType>JournalArticle</b:SourceType>
    <b:Guid>{E15CECC2-30CD-4E09-9A58-1CFAAD3CA740}</b:Guid>
    <b:Author>
      <b:Author>
        <b:NameList>
          <b:Person>
            <b:Last>Riccardo Polosa</b:Last>
            <b:First>Thomas</b:First>
            <b:Middle>Casale, Donald Tashkin</b:Middle>
          </b:Person>
        </b:NameList>
      </b:Author>
    </b:Author>
    <b:Title>A Close Look at Vaping in Adolescents and Young Adults in the United States</b:Title>
    <b:JournalName>The Journal of Allergy and Clinical Immunology: in paractice</b:JournalName>
    <b:Year>2022 November</b:Year>
    <b:Pages>p2831-2842, volume 10, issue 11</b:Pages>
    <b:RefOrder>18</b:RefOrder>
  </b:Source>
  <b:Source>
    <b:Tag>Worly</b:Tag>
    <b:SourceType>Report</b:SourceType>
    <b:Guid>{A10E65D5-AAC2-4CC2-8B67-47DCAB029C1D}</b:Guid>
    <b:Title>WHO Report on the global tobacco epidemic 2021: addressing new and emerging products</b:Title>
    <b:Year>2021 July</b:Year>
    <b:Author>
      <b:Author>
        <b:Corporate>World Health Organization</b:Corporate>
      </b:Author>
    </b:Author>
    <b:Publisher>World Health Organization</b:Publisher>
    <b:City>Geneva</b:City>
    <b:StandardNumber> Licence: CC BY-NC-SA 3.0 IGO</b:StandardNumber>
    <b:URL>https://www.who.int/publications/i/item/9789240032095</b:URL>
    <b:RefOrder>15</b:RefOrder>
  </b:Source>
  <b:Source>
    <b:Tag>Wor20</b:Tag>
    <b:SourceType>Report</b:SourceType>
    <b:Guid>{40B67E82-8CA2-4FED-AB5A-F5E138717E5B}</b:Guid>
    <b:Author>
      <b:Author>
        <b:Corporate>World Health Organization</b:Corporate>
      </b:Author>
    </b:Author>
    <b:Title>Heated Tobacco Products- a brief</b:Title>
    <b:Year>2020</b:Year>
    <b:Publisher>World health Organization- Regional Office for Europe</b:Publisher>
    <b:City>Copenhagen, Denmark</b:City>
    <b:RefOrder>14</b:RefOrder>
  </b:Source>
  <b:Source>
    <b:Tag>Ins18</b:Tag>
    <b:SourceType>Report</b:SourceType>
    <b:Guid>{CBA97B53-C3F3-41A3-84EC-2B80F6731BBA}</b:Guid>
    <b:Author>
      <b:Author>
        <b:Corporate>Institutul Național de Sănătate Publică, Totem, Organizația Mondială a Sănătății</b:Corporate>
      </b:Author>
    </b:Author>
    <b:Title>Global Adult Tobacco Survey - România</b:Title>
    <b:Year>2018</b:Year>
    <b:Publisher>Institutul Național de Sănătate Publică</b:Publisher>
    <b:City>Bucharest</b:City>
    <b:RefOrder>6</b:RefOrder>
  </b:Source>
  <b:Source>
    <b:Tag>ESP20</b:Tag>
    <b:SourceType>Report</b:SourceType>
    <b:Guid>{09456899-2751-4BA0-B284-EF08844FBAD6}</b:Guid>
    <b:Author>
      <b:Author>
        <b:Corporate>ESPAD Group</b:Corporate>
      </b:Author>
    </b:Author>
    <b:Title>ESPAD Report 2019: Results from the European School Survey Project on Alcohol and Other Drugs</b:Title>
    <b:Year>2020</b:Year>
    <b:Publisher>EMCDDA Joint Publications, Publications Office of the European Union</b:Publisher>
    <b:City>Luxembourg</b:City>
    <b:URL>http://www.espad.org/sites/espad.org/files/2020.3878_EN_04.pdf</b:URL>
    <b:RefOrder>25</b:RefOrder>
  </b:Source>
  <b:Source>
    <b:Tag>Ins22</b:Tag>
    <b:SourceType>Report</b:SourceType>
    <b:Guid>{6ACCE6ED-F476-43A5-BF2E-7A668AAB91BE}</b:Guid>
    <b:Title>Metodologie evaluarea comportamentelor la risc- studiu YRBSS</b:Title>
    <b:Year>2022</b:Year>
    <b:City>București</b:City>
    <b:Publisher>Institutul Național de Sănătate publică</b:Publisher>
    <b:Author>
      <b:Author>
        <b:Corporate>Institutul Național de Sănătate Publică</b:Corporate>
      </b:Author>
    </b:Author>
    <b:URL>https://insp.gov.ro/download/metodologie-comportamente-cu-risc-yrbss-2022-pdf/</b:URL>
    <b:RefOrder>23</b:RefOrder>
  </b:Source>
</b:Sources>
</file>

<file path=customXml/itemProps1.xml><?xml version="1.0" encoding="utf-8"?>
<ds:datastoreItem xmlns:ds="http://schemas.openxmlformats.org/officeDocument/2006/customXml" ds:itemID="{9AA262A7-0625-4B11-AC3D-AE7CB7E4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10180</Words>
  <Characters>58028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68072</CharactersWithSpaces>
  <SharedDoc>false</SharedDoc>
  <HLinks>
    <vt:vector size="222" baseType="variant">
      <vt:variant>
        <vt:i4>1179732</vt:i4>
      </vt:variant>
      <vt:variant>
        <vt:i4>132</vt:i4>
      </vt:variant>
      <vt:variant>
        <vt:i4>0</vt:i4>
      </vt:variant>
      <vt:variant>
        <vt:i4>5</vt:i4>
      </vt:variant>
      <vt:variant>
        <vt:lpwstr>https://www.who.int/europe/initiatives/health-behaviour-in-school-aged-children-(hbsc)-study</vt:lpwstr>
      </vt:variant>
      <vt:variant>
        <vt:lpwstr/>
      </vt:variant>
      <vt:variant>
        <vt:i4>3670132</vt:i4>
      </vt:variant>
      <vt:variant>
        <vt:i4>129</vt:i4>
      </vt:variant>
      <vt:variant>
        <vt:i4>0</vt:i4>
      </vt:variant>
      <vt:variant>
        <vt:i4>5</vt:i4>
      </vt:variant>
      <vt:variant>
        <vt:lpwstr>https://www.thelancet.com/action/showPdf?pii=S2468-2667%2821%2900114-6</vt:lpwstr>
      </vt:variant>
      <vt:variant>
        <vt:lpwstr/>
      </vt:variant>
      <vt:variant>
        <vt:i4>5963777</vt:i4>
      </vt:variant>
      <vt:variant>
        <vt:i4>126</vt:i4>
      </vt:variant>
      <vt:variant>
        <vt:i4>0</vt:i4>
      </vt:variant>
      <vt:variant>
        <vt:i4>5</vt:i4>
      </vt:variant>
      <vt:variant>
        <vt:lpwstr>https://bmcpublichealth.biomedcentral.com/articles/10.1186/s12889-022-12493-6</vt:lpwstr>
      </vt:variant>
      <vt:variant>
        <vt:lpwstr/>
      </vt:variant>
      <vt:variant>
        <vt:i4>458766</vt:i4>
      </vt:variant>
      <vt:variant>
        <vt:i4>123</vt:i4>
      </vt:variant>
      <vt:variant>
        <vt:i4>0</vt:i4>
      </vt:variant>
      <vt:variant>
        <vt:i4>5</vt:i4>
      </vt:variant>
      <vt:variant>
        <vt:lpwstr>https://pubmed.ncbi.nlm.nih.gov/34694383/</vt:lpwstr>
      </vt:variant>
      <vt:variant>
        <vt:lpwstr/>
      </vt:variant>
      <vt:variant>
        <vt:i4>4194400</vt:i4>
      </vt:variant>
      <vt:variant>
        <vt:i4>120</vt:i4>
      </vt:variant>
      <vt:variant>
        <vt:i4>0</vt:i4>
      </vt:variant>
      <vt:variant>
        <vt:i4>5</vt:i4>
      </vt:variant>
      <vt:variant>
        <vt:lpwstr>https://health.ec.europa.eu/system/files/2022-01/2021_chp_romania_romanian.pdf</vt:lpwstr>
      </vt:variant>
      <vt:variant>
        <vt:lpwstr/>
      </vt:variant>
      <vt:variant>
        <vt:i4>5570683</vt:i4>
      </vt:variant>
      <vt:variant>
        <vt:i4>117</vt:i4>
      </vt:variant>
      <vt:variant>
        <vt:i4>0</vt:i4>
      </vt:variant>
      <vt:variant>
        <vt:i4>5</vt:i4>
      </vt:variant>
      <vt:variant>
        <vt:lpwstr>https://www.who.int/health-topics/noncommunicable-diseases</vt:lpwstr>
      </vt:variant>
      <vt:variant>
        <vt:lpwstr>tab=tab_2</vt:lpwstr>
      </vt:variant>
      <vt:variant>
        <vt:i4>2097255</vt:i4>
      </vt:variant>
      <vt:variant>
        <vt:i4>114</vt:i4>
      </vt:variant>
      <vt:variant>
        <vt:i4>0</vt:i4>
      </vt:variant>
      <vt:variant>
        <vt:i4>5</vt:i4>
      </vt:variant>
      <vt:variant>
        <vt:lpwstr>https://www.who.int/activities/preventing-noncommunicable-diseases</vt:lpwstr>
      </vt:variant>
      <vt:variant>
        <vt:lpwstr/>
      </vt:variant>
      <vt:variant>
        <vt:i4>3932197</vt:i4>
      </vt:variant>
      <vt:variant>
        <vt:i4>111</vt:i4>
      </vt:variant>
      <vt:variant>
        <vt:i4>0</vt:i4>
      </vt:variant>
      <vt:variant>
        <vt:i4>5</vt:i4>
      </vt:variant>
      <vt:variant>
        <vt:lpwstr>https://doi.org/10.1787/20726aa6-ro</vt:lpwstr>
      </vt:variant>
      <vt:variant>
        <vt:lpwstr/>
      </vt:variant>
      <vt:variant>
        <vt:i4>6815825</vt:i4>
      </vt:variant>
      <vt:variant>
        <vt:i4>108</vt:i4>
      </vt:variant>
      <vt:variant>
        <vt:i4>0</vt:i4>
      </vt:variant>
      <vt:variant>
        <vt:i4>5</vt:i4>
      </vt:variant>
      <vt:variant>
        <vt:lpwstr>https://www.oecd-ilibrary.org/social-issues-migration-health/health-at-a-glance-europe-2022_507433b0-en (p.98</vt:lpwstr>
      </vt:variant>
      <vt:variant>
        <vt:lpwstr/>
      </vt:variant>
      <vt:variant>
        <vt:i4>3932197</vt:i4>
      </vt:variant>
      <vt:variant>
        <vt:i4>105</vt:i4>
      </vt:variant>
      <vt:variant>
        <vt:i4>0</vt:i4>
      </vt:variant>
      <vt:variant>
        <vt:i4>5</vt:i4>
      </vt:variant>
      <vt:variant>
        <vt:lpwstr>https://doi.org/10.1787/20726aa6-ro</vt:lpwstr>
      </vt:variant>
      <vt:variant>
        <vt:lpwstr/>
      </vt:variant>
      <vt:variant>
        <vt:i4>3342458</vt:i4>
      </vt:variant>
      <vt:variant>
        <vt:i4>102</vt:i4>
      </vt:variant>
      <vt:variant>
        <vt:i4>0</vt:i4>
      </vt:variant>
      <vt:variant>
        <vt:i4>5</vt:i4>
      </vt:variant>
      <vt:variant>
        <vt:lpwstr>https://insp.gov.ro/centrul-national-de-statistica-in-sanatate-publica-cnssp/date-statistice-pagina-de-descarcare/</vt:lpwstr>
      </vt:variant>
      <vt:variant>
        <vt:lpwstr/>
      </vt:variant>
      <vt:variant>
        <vt:i4>3932197</vt:i4>
      </vt:variant>
      <vt:variant>
        <vt:i4>99</vt:i4>
      </vt:variant>
      <vt:variant>
        <vt:i4>0</vt:i4>
      </vt:variant>
      <vt:variant>
        <vt:i4>5</vt:i4>
      </vt:variant>
      <vt:variant>
        <vt:lpwstr>https://doi.org/10.1787/20726aa6-ro</vt:lpwstr>
      </vt:variant>
      <vt:variant>
        <vt:lpwstr/>
      </vt:variant>
      <vt:variant>
        <vt:i4>6094873</vt:i4>
      </vt:variant>
      <vt:variant>
        <vt:i4>96</vt:i4>
      </vt:variant>
      <vt:variant>
        <vt:i4>0</vt:i4>
      </vt:variant>
      <vt:variant>
        <vt:i4>5</vt:i4>
      </vt:variant>
      <vt:variant>
        <vt:lpwstr>https://cancer-code-europe.iarc.fr/index.php/ro/12-modalitati/tutun/3303-pot-alti-factori-sa-modifice-riscurile-de-aparitie-a-cancerului-cauzat-de-fumat-ce-se-intampla-atunci-cand-consum-alcool-si-fumez-tutun</vt:lpwstr>
      </vt:variant>
      <vt:variant>
        <vt:lpwstr/>
      </vt:variant>
      <vt:variant>
        <vt:i4>5308447</vt:i4>
      </vt:variant>
      <vt:variant>
        <vt:i4>93</vt:i4>
      </vt:variant>
      <vt:variant>
        <vt:i4>0</vt:i4>
      </vt:variant>
      <vt:variant>
        <vt:i4>5</vt:i4>
      </vt:variant>
      <vt:variant>
        <vt:lpwstr>https://cancer-code-europe.iarc.fr/index.php/ro/12-modalitati/alcool/3364-pot-sa-mi-reduc-riscul-de-cancer-daca-renunt-la-consumul-de-alcool</vt:lpwstr>
      </vt:variant>
      <vt:variant>
        <vt:lpwstr/>
      </vt:variant>
      <vt:variant>
        <vt:i4>655446</vt:i4>
      </vt:variant>
      <vt:variant>
        <vt:i4>90</vt:i4>
      </vt:variant>
      <vt:variant>
        <vt:i4>0</vt:i4>
      </vt:variant>
      <vt:variant>
        <vt:i4>5</vt:i4>
      </vt:variant>
      <vt:variant>
        <vt:lpwstr>https://insp.gov.ro/2023/02/03/4-februarie-2023-ziua-mondiala-de-lupta-impotriva-cancerului/</vt:lpwstr>
      </vt:variant>
      <vt:variant>
        <vt:lpwstr/>
      </vt:variant>
      <vt:variant>
        <vt:i4>2293875</vt:i4>
      </vt:variant>
      <vt:variant>
        <vt:i4>87</vt:i4>
      </vt:variant>
      <vt:variant>
        <vt:i4>0</vt:i4>
      </vt:variant>
      <vt:variant>
        <vt:i4>5</vt:i4>
      </vt:variant>
      <vt:variant>
        <vt:lpwstr>https://cancer-code-europe.iarc.fr/index.php/ro/12-modalitati/tutun</vt:lpwstr>
      </vt:variant>
      <vt:variant>
        <vt:lpwstr/>
      </vt:variant>
      <vt:variant>
        <vt:i4>6488154</vt:i4>
      </vt:variant>
      <vt:variant>
        <vt:i4>84</vt:i4>
      </vt:variant>
      <vt:variant>
        <vt:i4>0</vt:i4>
      </vt:variant>
      <vt:variant>
        <vt:i4>5</vt:i4>
      </vt:variant>
      <vt:variant>
        <vt:lpwstr>https://insp.gov.ro/download/cnepss/stare-de-sanatate/rapoarte_si_studii_despre_starea_de_sanatate/sanatatea_copiilor/rapoarte-nationale/Raport-National-de-Sanatate-a-Copiilor-si-Tinerilor-din-Romania-2020.pdf</vt:lpwstr>
      </vt:variant>
      <vt:variant>
        <vt:lpwstr/>
      </vt:variant>
      <vt:variant>
        <vt:i4>1048607</vt:i4>
      </vt:variant>
      <vt:variant>
        <vt:i4>81</vt:i4>
      </vt:variant>
      <vt:variant>
        <vt:i4>0</vt:i4>
      </vt:variant>
      <vt:variant>
        <vt:i4>5</vt:i4>
      </vt:variant>
      <vt:variant>
        <vt:lpwstr>http://www.espad.org/sites/espad.org/files/2020.3878_EN_04.pdf</vt:lpwstr>
      </vt:variant>
      <vt:variant>
        <vt:lpwstr/>
      </vt:variant>
      <vt:variant>
        <vt:i4>6815825</vt:i4>
      </vt:variant>
      <vt:variant>
        <vt:i4>78</vt:i4>
      </vt:variant>
      <vt:variant>
        <vt:i4>0</vt:i4>
      </vt:variant>
      <vt:variant>
        <vt:i4>5</vt:i4>
      </vt:variant>
      <vt:variant>
        <vt:lpwstr>https://www.oecd-ilibrary.org/social-issues-migration-health/health-at-a-glance-europe-2022_507433b0-en (p.98</vt:lpwstr>
      </vt:variant>
      <vt:variant>
        <vt:lpwstr/>
      </vt:variant>
      <vt:variant>
        <vt:i4>4194400</vt:i4>
      </vt:variant>
      <vt:variant>
        <vt:i4>75</vt:i4>
      </vt:variant>
      <vt:variant>
        <vt:i4>0</vt:i4>
      </vt:variant>
      <vt:variant>
        <vt:i4>5</vt:i4>
      </vt:variant>
      <vt:variant>
        <vt:lpwstr>https://health.ec.europa.eu/system/files/2022-01/2021_chp_romania_romanian.pdf</vt:lpwstr>
      </vt:variant>
      <vt:variant>
        <vt:lpwstr/>
      </vt:variant>
      <vt:variant>
        <vt:i4>6815771</vt:i4>
      </vt:variant>
      <vt:variant>
        <vt:i4>72</vt:i4>
      </vt:variant>
      <vt:variant>
        <vt:i4>0</vt:i4>
      </vt:variant>
      <vt:variant>
        <vt:i4>5</vt:i4>
      </vt:variant>
      <vt:variant>
        <vt:lpwstr>https://www.euro.who.int/__data/assets/pdf_file/0009/402777/Tobacco-Trends-Report-ENG-WEB.pdf</vt:lpwstr>
      </vt:variant>
      <vt:variant>
        <vt:lpwstr/>
      </vt:variant>
      <vt:variant>
        <vt:i4>3276910</vt:i4>
      </vt:variant>
      <vt:variant>
        <vt:i4>69</vt:i4>
      </vt:variant>
      <vt:variant>
        <vt:i4>0</vt:i4>
      </vt:variant>
      <vt:variant>
        <vt:i4>5</vt:i4>
      </vt:variant>
      <vt:variant>
        <vt:lpwstr>https://tobaccoatlas.org/challenges/health-effects/</vt:lpwstr>
      </vt:variant>
      <vt:variant>
        <vt:lpwstr/>
      </vt:variant>
      <vt:variant>
        <vt:i4>6815825</vt:i4>
      </vt:variant>
      <vt:variant>
        <vt:i4>60</vt:i4>
      </vt:variant>
      <vt:variant>
        <vt:i4>0</vt:i4>
      </vt:variant>
      <vt:variant>
        <vt:i4>5</vt:i4>
      </vt:variant>
      <vt:variant>
        <vt:lpwstr>https://www.oecd-ilibrary.org/social-issues-migration-health/health-at-a-glance-europe-2022_507433b0-en (p.98</vt:lpwstr>
      </vt:variant>
      <vt:variant>
        <vt:lpwstr/>
      </vt:variant>
      <vt:variant>
        <vt:i4>3932197</vt:i4>
      </vt:variant>
      <vt:variant>
        <vt:i4>57</vt:i4>
      </vt:variant>
      <vt:variant>
        <vt:i4>0</vt:i4>
      </vt:variant>
      <vt:variant>
        <vt:i4>5</vt:i4>
      </vt:variant>
      <vt:variant>
        <vt:lpwstr>https://doi.org/10.1787/20726aa6-ro</vt:lpwstr>
      </vt:variant>
      <vt:variant>
        <vt:lpwstr/>
      </vt:variant>
      <vt:variant>
        <vt:i4>1769522</vt:i4>
      </vt:variant>
      <vt:variant>
        <vt:i4>50</vt:i4>
      </vt:variant>
      <vt:variant>
        <vt:i4>0</vt:i4>
      </vt:variant>
      <vt:variant>
        <vt:i4>5</vt:i4>
      </vt:variant>
      <vt:variant>
        <vt:lpwstr/>
      </vt:variant>
      <vt:variant>
        <vt:lpwstr>_Toc131802256</vt:lpwstr>
      </vt:variant>
      <vt:variant>
        <vt:i4>1769522</vt:i4>
      </vt:variant>
      <vt:variant>
        <vt:i4>44</vt:i4>
      </vt:variant>
      <vt:variant>
        <vt:i4>0</vt:i4>
      </vt:variant>
      <vt:variant>
        <vt:i4>5</vt:i4>
      </vt:variant>
      <vt:variant>
        <vt:lpwstr/>
      </vt:variant>
      <vt:variant>
        <vt:lpwstr>_Toc131802255</vt:lpwstr>
      </vt:variant>
      <vt:variant>
        <vt:i4>1769522</vt:i4>
      </vt:variant>
      <vt:variant>
        <vt:i4>38</vt:i4>
      </vt:variant>
      <vt:variant>
        <vt:i4>0</vt:i4>
      </vt:variant>
      <vt:variant>
        <vt:i4>5</vt:i4>
      </vt:variant>
      <vt:variant>
        <vt:lpwstr/>
      </vt:variant>
      <vt:variant>
        <vt:lpwstr>_Toc131802254</vt:lpwstr>
      </vt:variant>
      <vt:variant>
        <vt:i4>1769522</vt:i4>
      </vt:variant>
      <vt:variant>
        <vt:i4>32</vt:i4>
      </vt:variant>
      <vt:variant>
        <vt:i4>0</vt:i4>
      </vt:variant>
      <vt:variant>
        <vt:i4>5</vt:i4>
      </vt:variant>
      <vt:variant>
        <vt:lpwstr/>
      </vt:variant>
      <vt:variant>
        <vt:lpwstr>_Toc131802253</vt:lpwstr>
      </vt:variant>
      <vt:variant>
        <vt:i4>1769522</vt:i4>
      </vt:variant>
      <vt:variant>
        <vt:i4>26</vt:i4>
      </vt:variant>
      <vt:variant>
        <vt:i4>0</vt:i4>
      </vt:variant>
      <vt:variant>
        <vt:i4>5</vt:i4>
      </vt:variant>
      <vt:variant>
        <vt:lpwstr/>
      </vt:variant>
      <vt:variant>
        <vt:lpwstr>_Toc131802252</vt:lpwstr>
      </vt:variant>
      <vt:variant>
        <vt:i4>1769522</vt:i4>
      </vt:variant>
      <vt:variant>
        <vt:i4>20</vt:i4>
      </vt:variant>
      <vt:variant>
        <vt:i4>0</vt:i4>
      </vt:variant>
      <vt:variant>
        <vt:i4>5</vt:i4>
      </vt:variant>
      <vt:variant>
        <vt:lpwstr/>
      </vt:variant>
      <vt:variant>
        <vt:lpwstr>_Toc131802251</vt:lpwstr>
      </vt:variant>
      <vt:variant>
        <vt:i4>1769522</vt:i4>
      </vt:variant>
      <vt:variant>
        <vt:i4>14</vt:i4>
      </vt:variant>
      <vt:variant>
        <vt:i4>0</vt:i4>
      </vt:variant>
      <vt:variant>
        <vt:i4>5</vt:i4>
      </vt:variant>
      <vt:variant>
        <vt:lpwstr/>
      </vt:variant>
      <vt:variant>
        <vt:lpwstr>_Toc131802250</vt:lpwstr>
      </vt:variant>
      <vt:variant>
        <vt:i4>1703986</vt:i4>
      </vt:variant>
      <vt:variant>
        <vt:i4>8</vt:i4>
      </vt:variant>
      <vt:variant>
        <vt:i4>0</vt:i4>
      </vt:variant>
      <vt:variant>
        <vt:i4>5</vt:i4>
      </vt:variant>
      <vt:variant>
        <vt:lpwstr/>
      </vt:variant>
      <vt:variant>
        <vt:lpwstr>_Toc131802249</vt:lpwstr>
      </vt:variant>
      <vt:variant>
        <vt:i4>1703986</vt:i4>
      </vt:variant>
      <vt:variant>
        <vt:i4>2</vt:i4>
      </vt:variant>
      <vt:variant>
        <vt:i4>0</vt:i4>
      </vt:variant>
      <vt:variant>
        <vt:i4>5</vt:i4>
      </vt:variant>
      <vt:variant>
        <vt:lpwstr/>
      </vt:variant>
      <vt:variant>
        <vt:lpwstr>_Toc131802248</vt:lpwstr>
      </vt:variant>
      <vt:variant>
        <vt:i4>3932197</vt:i4>
      </vt:variant>
      <vt:variant>
        <vt:i4>9</vt:i4>
      </vt:variant>
      <vt:variant>
        <vt:i4>0</vt:i4>
      </vt:variant>
      <vt:variant>
        <vt:i4>5</vt:i4>
      </vt:variant>
      <vt:variant>
        <vt:lpwstr>https://doi.org/10.1787/20726aa6-ro</vt:lpwstr>
      </vt:variant>
      <vt:variant>
        <vt:lpwstr/>
      </vt:variant>
      <vt:variant>
        <vt:i4>3276910</vt:i4>
      </vt:variant>
      <vt:variant>
        <vt:i4>6</vt:i4>
      </vt:variant>
      <vt:variant>
        <vt:i4>0</vt:i4>
      </vt:variant>
      <vt:variant>
        <vt:i4>5</vt:i4>
      </vt:variant>
      <vt:variant>
        <vt:lpwstr>https://tobaccoatlas.org/challenges/health-effects/</vt:lpwstr>
      </vt:variant>
      <vt:variant>
        <vt:lpwstr/>
      </vt:variant>
      <vt:variant>
        <vt:i4>4325460</vt:i4>
      </vt:variant>
      <vt:variant>
        <vt:i4>3</vt:i4>
      </vt:variant>
      <vt:variant>
        <vt:i4>0</vt:i4>
      </vt:variant>
      <vt:variant>
        <vt:i4>5</vt:i4>
      </vt:variant>
      <vt:variant>
        <vt:lpwstr>https://cancer-code-europe.iarc.fr/index.php/ro/12-modalitati/tutun/3307-poate-tutunul-sa-cauzeze-cancer-cat-la-suta-dintre-cazurile-de-cancer-sunt-cauzate-de-fumat</vt:lpwstr>
      </vt:variant>
      <vt:variant>
        <vt:lpwstr/>
      </vt:variant>
      <vt:variant>
        <vt:i4>7929892</vt:i4>
      </vt:variant>
      <vt:variant>
        <vt:i4>0</vt:i4>
      </vt:variant>
      <vt:variant>
        <vt:i4>0</vt:i4>
      </vt:variant>
      <vt:variant>
        <vt:i4>5</vt:i4>
      </vt:variant>
      <vt:variant>
        <vt:lpwstr>https://doi.org/10.1787/507433b0-en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mirela.banateanu</dc:creator>
  <cp:keywords/>
  <dc:description/>
  <cp:lastModifiedBy>eugenia.bratu</cp:lastModifiedBy>
  <cp:revision>3</cp:revision>
  <cp:lastPrinted>2023-04-28T12:25:00Z</cp:lastPrinted>
  <dcterms:created xsi:type="dcterms:W3CDTF">2023-04-28T12:25:00Z</dcterms:created>
  <dcterms:modified xsi:type="dcterms:W3CDTF">2023-04-28T12:25:00Z</dcterms:modified>
</cp:coreProperties>
</file>